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PE21.014677 vom 17. Dezember 2021</w:t>
      </w:r>
    </w:p>
    <w:p>
      <w:r>
        <w:t>VD Tribunal cantonal, 2021-12-17, FR</w:t>
      </w:r>
    </w:p>
    <w:p>
      <w:r>
        <w:rPr>
          <w:b/>
        </w:rPr>
        <w:t xml:space="preserve">Quelle: </w:t>
      </w:r>
      <w:r>
        <w:t>https://mcp.opencaselaw.ch/entscheid/vd_gerichte_PE21.014677</w:t>
      </w:r>
    </w:p>
    <w:p>
      <w:r>
        <w:t>FR: VD_GERICHTE PE21.014677 du 17 décembre 2021</w:t>
      </w:r>
    </w:p>
    <w:p>
      <w:r>
        <w:t>IT: VD_GERICHTE PE21.014677 del 17 dicembre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devant l’autorité compétente par un plaignant qui a qualité pour recourir (art. 382 al. 1 CPP). Il est donc recevable, sous la réserve de ce qui sera exposé au considérant 3 ci-dessous. Les pièces nouvelles sont également recevables (art. 390 al. 4 in fine CPP; Moreillon/Parein-Reymond, Code de procédure pénale, Petit commentaire, 2e éd., Bâle 2016, n. 8 ad art. 385 CPP; CREP 9 juillet 2012/427 consid. 1b et les réf. citées).</w:t>
      </w:r>
    </w:p>
    <w:p>
      <w:r>
        <w:rPr>
          <w:b/>
        </w:rPr>
        <w:t>E. 2.1</w:t>
      </w:r>
    </w:p>
    <w:p>
      <w:r>
        <w:t>Statuer sur la recevabilité de l’acte introductif d’instance implique au préalable de circonscrire l’objet du recours au regard de la plainte frappée de non-entrée en matière. Le Procureur a considéré que l’écrit du 14 août 2021 constituait une nouvelle plainte, déposée pour des faits similaires à ceux déjà soulevés par celles ayant constitué l’objet de quatre ordonnances de non-entrée en matière, expressément référencées par leurs numéros d’ordre au rôle (PE20.003303-OJO, PE20.009058-MYO, PE20.021308-OJO et PE21.000435-LRC, déjà cités). Le plaignant affirme qu’il n’a pas déposé de plainte pénale le 14 août 2021, que l’ordonnance du 3 septembre 2021 « port[e] en réalité sur la plainte déposée le 09</w:t>
      </w:r>
    </w:p>
    <w:p>
      <w:r>
        <w:t>- 7 - février 2021 » et que son courrier transmettant des pièces additionnelles complétait sa plainte déposée le 9 février 2021, qui faisaient elle-même suite à une dénonciation du 23 décembre 2020. Il soutient en outre que le Ministère public fait référence à une ordonnance pénale (PE21.000435- LRC) dont il ignore l’existence, pour ne l’avoir pas eue en mains, faute, selon lui, de notification intervenue à ce jour (recours, ch. 4.3.3, p. 9).</w:t>
      </w:r>
    </w:p>
    <w:p>
      <w:r>
        <w:rPr>
          <w:b/>
        </w:rPr>
        <w:t>E. 2.2</w:t>
      </w:r>
    </w:p>
    <w:p>
      <w:r>
        <w:t>Cette argumentation est contredite par les faits. D’abord, l’acte du 14 août 2021 est intitulé « Plainte avec constitution de partie civile (…) », sans mention d’un complément qui serait apporté à une plainte antérieure. Ensuite, il est dépourvu de toute référence d’affaire, notamment de celle ouverte à réception de la dénonciation du 23 décembre 2020 et de la plainte du 9 février 2021, clôturée par l’ordonnance de non-entrée en matière du 26 mars 2021 (PE21.000435- LRC). Enfin, même si l’acte du 14 août 2021 exprime l’intention de son auteur de « revenir » sur une plainte précédente, fondée sur les art. 144bis et 312 CP et censée déposée le 11 février 2021, il n’en reste pas moins que le plaignant invoque, pièces à l’appui, des actes désignés comme nouveaux par rapport à ceux faisant l’objet de sa dénonciation du 23 décembre 2020 et de sa plainte du 9 février 2021. En outre, la dénonciation du 23 décembre 2020 et la plainte du 9 février 2021 ont, comme déjà relevé, été frappées de non-entrée en matière par l’ordonnance du 26 mars 2021, entrée en force. Ces éléments empêchaient de considérer l’acte du 14 août 2021 comme un complément apporté à la dénonciation et à la plainte ayant fait l’objet de cette ordonnance. C’est donc à bon droit que le Procureur a considéré qu’il s’agissait d’une nouvelle plainte, et qu’il a ouvert un dossier, inscrit au rôle sous un numéro d’ordre séparé.</w:t>
      </w:r>
    </w:p>
    <w:p>
      <w:r>
        <w:rPr>
          <w:b/>
        </w:rPr>
        <w:t>E. 3.1</w:t>
      </w:r>
    </w:p>
    <w:p>
      <w:r>
        <w:t>La recevabilité du recours suppose que les actes déposés soient motivés (art. 396 al. 1 CPP, précité). Les exigences de motivation du</w:t>
      </w:r>
    </w:p>
    <w:p>
      <w:r>
        <w:t>- 8 -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2e éd., Bâle 2019, n. 20 ad art. 385 CPP).</w:t>
      </w:r>
    </w:p>
    <w:p>
      <w:r>
        <w:rPr>
          <w:b/>
        </w:rPr>
        <w:t>E. 3.2</w:t>
      </w:r>
    </w:p>
    <w:p>
      <w:r>
        <w:t>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(cf. not. TF 6B_191/2021 du 11 août 2021 consid. 2).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CREP 22 juin 2020/487; cf. aussi CREP du 4 août 2020/576).</w:t>
      </w:r>
    </w:p>
    <w:p>
      <w:r>
        <w:t>- 9 -</w:t>
      </w:r>
    </w:p>
    <w:p>
      <w:r>
        <w:rPr>
          <w:b/>
        </w:rPr>
        <w:t>E. 4.1</w:t>
      </w:r>
    </w:p>
    <w:p>
      <w:r>
        <w:t>Le recourant persiste à se dire victime d’un traitement illicite de ses données informatiques personnelles; il se prétend en outre victime d’un abus d’autorité.</w:t>
      </w:r>
    </w:p>
    <w:p>
      <w:r>
        <w:rPr>
          <w:b/>
        </w:rPr>
        <w:t>E. 4.2</w:t>
      </w:r>
    </w:p>
    <w:p>
      <w:r>
        <w:t>La détérioration de données est réprimée par l'art. 144bis ch. 1 CP. Quant aux éléments constitutifs de l’infraction, il suffit de renvoyer aux motifs de l’arrêt de la Cour de céans du 11 septembre 2020 (consid. 4.2.1, déjà mentionné). L’abus d’autorité est réprimé par l’art. 312 CP.</w:t>
      </w:r>
    </w:p>
    <w:p>
      <w:r>
        <w:rPr>
          <w:b/>
        </w:rPr>
        <w:t>E. 4.3</w:t>
      </w:r>
    </w:p>
    <w:p>
      <w:r>
        <w:t>En l’espèce, le recourant n’expose pas dans son acte de recours, de manière intelligible, en quoi le Contrôle des habitants de la Commune de [...], respectivement le Préposé [...], auraient commis les éléments objectifs et subjectifs des infractions de détérioration de données ou d’abus d’autorité à son préjudice. Le recourant ne formule en particulier aucun moyen dirigé contre le motif de l’ordonnance de non-entrée en matière contestée, selon lequel il n’y avait aucun indice de commission d’une infraction pénale et que, notamment, aucune intention délictueuse n’était rendue vraisemblable pour les infractions en cause, lesquelles ne sont poursuivies que si elles sont commises intentionnellement. En d’autres termes, le plaignant ne soutient pas que l’élément constitutif subjectif de l’une ou de l’autre des infractions dénoncées, soit le dessein dolosif, serait réalisé. Or, c’est précisément pour ce motif que la non-entrée en matière a été prononcée. Au surplus, le recourant ne conteste pas ni a fortiori ne formule aucun moyen dirigé contre le sort des frais de la procédure, entièrement mis à sa charge. Dès lors, le mémoire de recours ne comporte aucun moyen, de fait ou de droit, qui serait dirigé contre la motivation de l’ordonnance attaquée. Partant, le recours ne satisfait pas aux exigences de l’art. 385 al. 1, spécialement let. b, CPP.</w:t>
      </w:r>
    </w:p>
    <w:p>
      <w:r>
        <w:t>- 10 - Le défaut de motivation entachant l’acte introductif d’instance ne saurait justifier qu'un délai supplémentaire soit imparti au recourant pour compléter son écriture en application de l'art. 385 al. 2 CPP (cf. les arrêts précités au consid. 3.1.2). Dans ces conditions, hormis s’agissant du moyen examiné au considérant 2 qui précède, le recours est irrecevable faute de motivation idoine.</w:t>
      </w:r>
    </w:p>
    <w:p>
      <w:r>
        <w:rPr>
          <w:b/>
        </w:rPr>
        <w:t>E. 4.4</w:t>
      </w:r>
    </w:p>
    <w:p>
      <w:r>
        <w:t>De toute manière, s’agissant d’un état de fait identique, on ne pourrait que renvoyer aux motifs de l’arrêt de la Cour de céans du 11 septembre 2020 (consid. 2 et 4.3). Comme le relève le Ministère public, on ne distingue ainsi aucune infraction pénale dans les faits similaires à nouveau dénoncés par le recourant, qui ne rend même pas vraisemblable que les données en cause seraient fausses. Partant, c’est à juste titre que le Ministère public n’est pas entré en matière sur la plainte du 14 août 2021 (cf. l’art. 310 al. 1 let. a CPP). Serait-il même recevable que le recours devrait donc être rejeté.</w:t>
      </w:r>
    </w:p>
    <w:p>
      <w:r>
        <w:rPr>
          <w:b/>
        </w:rPr>
        <w:t>E. 5</w:t>
      </w:r>
    </w:p>
    <w:p>
      <w:r>
        <w:t>Pour le surplus, le recourant paraît contester la suite donnée à sa plainte du 9 février 2021, qui a été frappée de non-entrée en matière par l’ordonnance du 26 mars 2021, comme cela a déjà été vu. Ce point ne constitue cependant pas l’objet de l’ordonnance de non-entrée en matière du 3 septembre 2021 ici contestée. Ce grief doit donc être écarté.</w:t>
      </w:r>
    </w:p>
    <w:p>
      <w:r>
        <w:t>- 11 -</w:t>
      </w:r>
    </w:p>
    <w:p>
      <w:r>
        <w:rPr>
          <w:b/>
        </w:rPr>
        <w:t>E. 6.1</w:t>
      </w:r>
    </w:p>
    <w:p>
      <w:r>
        <w:t>Il résulte de ce qui précède que le recours, manifestement mal fondé et même abusif, doit être rejeté sans échange d’écritures (art. 390 al. 2 CPP), dans la mesure où il est recevable, et l’ordonnance entreprise confirmée. Les frais de la procédure de recours, constitués en l’espèce du seul émolument d’arrêt (art. 422 al. 1 CPP), par 1’210 fr. (art. 20 al. 1 TFIP [Tarif des frais de procédure et indemnités en matière pénale du 28 septembre 2010; BLV 312.03.1]), seront mis à la charge du recourant, qui succombe (art. 428 al. 1 CPP).</w:t>
      </w:r>
    </w:p>
    <w:p>
      <w:r>
        <w:rPr>
          <w:b/>
        </w:rPr>
        <w:t>E. 6.2</w:t>
      </w:r>
    </w:p>
    <w:p>
      <w:r>
        <w:t>Le recourant demande l’assistance judiciaire, sans préciser plus avant l’étendue de celle-ci. A l’appui de sa requête, il invoque des prétentions civiles qui découleraient des « souffrances endurées (…), du fait des infractions présumées commises par le préposé à la protection des données personnelles ayant des répercussions sur sa liberté personnelle (…) » (recours, ch. 5.2, p. 9). Il invoque en outre une « baisse de son patrimoine en raison de l’incapacité de travail, constatée par un médecin (…) » et un « tort moral important subi au regard de la durée de celui-ci (…) » (recours, ch. 9, p. 12).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Comme le recours était dénué de toute chance de succès et que les conditions d’une éventuelle action civile ne sont ainsi</w:t>
      </w:r>
    </w:p>
    <w:p>
      <w:r>
        <w:t>- 12 - manifestement pas réunies, la requête d’assistance judiciaire doit être rejetée.</w:t>
      </w:r>
    </w:p>
    <w:p>
      <w:r>
        <w:t>- 13 - Par ces motifs, la Chambre des recours pénale prononce : I. Le recours est rejeté dans la mesure où il est recevable. II. L’ordonnance du 3 septembre 2021 est confirmée. III. La requête d’assistance judiciaire est rejetée. IV. Les frais d’arrêt, par 1’210 fr. (mille deux cent dix francs), sont mis à la charge d’E.________. V. L’arrêt est exécutoire. Le président : Le greffier : Du Le présent arrêt, dont la rédaction a été approuvée à huis clos, est notifié, par l'envoi d'une copie complète, à : - M.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