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PE21.014592 vom 27. Juni 2022</w:t>
      </w:r>
    </w:p>
    <w:p>
      <w:r>
        <w:t>VD Tribunal cantonal, 2022-06-27, FR</w:t>
      </w:r>
    </w:p>
    <w:p>
      <w:r>
        <w:rPr>
          <w:b/>
        </w:rPr>
        <w:t xml:space="preserve">Quelle: </w:t>
      </w:r>
      <w:r>
        <w:t>https://mcp.opencaselaw.ch/entscheid/vd_gerichte_PE21.014592</w:t>
      </w:r>
    </w:p>
    <w:p>
      <w:r>
        <w:t>FR: VD_GERICHTE PE21.014592 du 27 juin 2022</w:t>
      </w:r>
    </w:p>
    <w:p>
      <w:r>
        <w:t>IT: VD_GERICHTE PE21.014592 del 27 giugno 2022</w:t>
      </w:r>
    </w:p>
    <w:p>
      <w:pPr>
        <w:pStyle w:val="Heading2"/>
      </w:pPr>
      <w:r>
        <w:t>Erwägungen</w:t>
      </w:r>
    </w:p>
    <w:p>
      <w:r>
        <w:rPr>
          <w:b/>
        </w:rPr>
        <w:t>E. 6</w:t>
      </w:r>
    </w:p>
    <w:p>
      <w:r>
        <w:t>par. 3 let. a et b CEDH (droit d'être informé de la nature et de la cause de l'accusation) (TF 6B_1185/2018 du 14 janvier 2019 consid. 2.1). L’art. 325 al. 1 CPP détermine le contenu de l'acte d'accusation, qui doit désigner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enfin les infractions réalisées et les dispositions légales applicables de l’avis du ministère public (let. g). 3.2 A l’examen de l’acte d’accusation du 17 mars 2022, force est de constater qu’il comporte tous les éléments nécessaires constitutifs du crime reproché au prévenu, notamment les dates des livraisons ainsi que la quantité de drogue transportée, ce qui suffit amplement. On ne discerne donc aucune violation de la maxime d'accusation. Le grief, mal fondé, doit être rejeté. 4. Invoquant une violation de l’art. 47 CP, l’appelant considère que la peine prononcée à son encontre, soit une peine privative de liberté de 8 ans, est trop sévère. Ce faisant, il se livre à une comparaison des peines prononcées dans différentes affaires concernant des infractions graves à la LStup pour conclure qu’il devrait être condamné à une peine privative de liberté d’une année. Aux débats d’appel, le Ministère public a, quant à lui, conclu au prononcé d’une peine privative de six ans pour tenir</w:t>
      </w:r>
    </w:p>
    <w:p>
      <w:r>
        <w:t>- 15 - compte des aveux – certes tardifs – faits et de la situation personnelle de l’appelant. 4.1 4.1.1 Selon l’art. 47 CP, également applicable en matière d’infraction à la LStup en vertu du renvoi de l’art. 26 de cette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TF 6B_101/2021 du 22 décembre 2021 consid. 3.2 ; TF</w:t>
      </w:r>
    </w:p>
    <w:p>
      <w:r>
        <w:t>- 16 - 6B_184/2021 du 16 décembre 2021 consid. 1.1), à partir de laquelle le cas doit être considéré comme grave au sens de l'art. 19 al. 2 let. a LStup (ATF 121 IV 193 consid. 2b/aa).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du 29 avril 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 4.1.2 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ATF 135 IV 191 consid. 3.1 ; TF 6B_334/2009 du 20 juillet 2009 consid. 2.3.2).</w:t>
      </w:r>
    </w:p>
    <w:p>
      <w:r>
        <w:t>- 17 - 4.2 A l’instar des premiers juges, il y a lieu de retenir que la culpabilité de l’appelant est lourde (cf. jgmt p. 12-13). En effet, le trafic, en</w:t>
      </w:r>
    </w:p>
    <w:p>
      <w:r>
        <w:rPr>
          <w:b/>
        </w:rPr>
        <w:t>E. 7</w:t>
      </w:r>
    </w:p>
    <w:p>
      <w:r>
        <w:t>décembre 2010 ; BLV 211.02.3] par renvoi de l’art. 26b TFIP [tarif des frais de procédure et indemnités en matière pénale du 28 septembre 2010 ; BLV 312.03.1]). L’indemnité de défenseur d’office allouée à Me Anne Dorthe pour la procédure d’appel doit ainsi être fixée à 3'027 fr. 55, ce qui équivaut à des honoraires de 2'638 fr. 35, auxquels s’ajoutent des débours forfaitaires, par 52 fr. 80, une vacation de 120 fr. et la TVA sur le tout, par 216 fr. 45. Vu l’issue de la cause, les frais de la procédure d’appel, par 4'857 fr. 55, constitués de l’émolument d’audience et de jugement, par 1'830 fr. (cf. art. 21 al. 1 et 2 TFIP), et de l’indemnité due au défenseur d’office de l’appelant, par 3’027 fr. 55, seront mis par trois quarts, soit 3’643 fr. 15, à la charge de O.________, le solde étant laissé à la charge de l’Etat. O.________ ne sera tenu de rembourser à l’Etat la part mise à sa charge de l’indemnité en faveur de son défenseur d’office que lorsque sa situation financière le permettra.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