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PE21.014550 vom 25. Januar 2022</w:t>
      </w:r>
    </w:p>
    <w:p>
      <w:r>
        <w:t>VD Tribunal cantonal, 2022-01-25, FR</w:t>
      </w:r>
    </w:p>
    <w:p>
      <w:r>
        <w:rPr>
          <w:b/>
        </w:rPr>
        <w:t xml:space="preserve">Quelle: </w:t>
      </w:r>
      <w:r>
        <w:t>https://mcp.opencaselaw.ch/entscheid/vd_gerichte_PE21.014550</w:t>
      </w:r>
    </w:p>
    <w:p>
      <w:r>
        <w:t>FR: VD_GERICHTE PE21.014550 du 25 janvier 2022</w:t>
      </w:r>
    </w:p>
    <w:p>
      <w:r>
        <w:t>IT: VD_GERICHTE PE21.014550 del 25 gennaio 2022</w:t>
      </w:r>
    </w:p>
    <w:p>
      <w:pPr>
        <w:pStyle w:val="Heading2"/>
      </w:pPr>
      <w:r>
        <w:t>Erwägungen</w:t>
      </w:r>
    </w:p>
    <w:p>
      <w:r>
        <w:rPr>
          <w:b/>
        </w:rPr>
        <w:t>E. 1.1</w:t>
      </w:r>
    </w:p>
    <w:p>
      <w:r>
        <w:t>Les parties peuvent attaquer une ordonnance de non-entrée en matière rendue par le ministère public en application de l’art. 310 CPP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Interjeté en temps utile et dans les formes prescrites (art. 385 al. 1 CPP) auprès de l’autorité compétente, par la partie plaignante qui a qualité pour recourir (art. 382 al. 1 CPP), le recours de M.________ est recevable.</w:t>
      </w:r>
    </w:p>
    <w:p>
      <w:r>
        <w:rPr>
          <w:b/>
        </w:rPr>
        <w:t>E. 2</w:t>
      </w:r>
    </w:p>
    <w:p>
      <w:r>
        <w:t>Le recourant conteste que les conditions de l’art. 14 CP soient réalisées. Il soutient que l’ordonnance susmentionnée du 31 mai 2021 était contraire aux pièces ; que la procureure ne pouvait l’ignorer ; qu’elle n’a pas procédé avec la prudence requise en pareilles circonstances, et que les considérants qu’elle a posés dans son ordonnance ont porté atteinte à son honneur de façon insoutenable.</w:t>
      </w:r>
    </w:p>
    <w:p>
      <w:r>
        <w:rPr>
          <w:b/>
        </w:rPr>
        <w:t>E. 2.1</w:t>
      </w:r>
    </w:p>
    <w:p>
      <w:r>
        <w:t>; ATF 128 IV 53 consid. 1 a). La diffamation suppose une allégation de fait et non un simple jugement de valeur (ATF 117 IV 27 consid. 2c). Il ne suffit pas d'abaisser une personne dans la bonne opinion qu'elle a d'elle-même ou dans les qualités qu'elle croit avoir. Echappent ainsi à la répression les assertions qui, sans faire apparaître la personne comme méprisable, sont seulement propres à ternir la réputation dont elle jouit ou à ébranler la confiance qu'elle a en elle-même (ATF 128 IV 53 consid. la). Dans le domaine des activités socio-professionnelles, il ne suffit ainsi pas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w:t>
      </w:r>
    </w:p>
    <w:p>
      <w:r>
        <w:t>- 9 - généralement admises (TF 6B_1254/2019 du 16 mars 2020 consid. 6.1 ; TF 6B_1047/2019 du 15 janvier 2020 consid. 3.1 ; TF 6B_1268/2019 du 15 janvier 2020 consid. 1.2). Pour apprécier si une déclaration est attentatoire à l'honneur, il faut se fonder non pas sur le sens que lui donne la personne visée, mais sur une interprétation objective selon la signification qu'un destinataire non prévenu doit lui donner dans les circonstances d'espèce (ATF 145 IV 462 consid. 4.2.3 ; ATF 137 IV 313 consid. 2.1.3).</w:t>
      </w:r>
    </w:p>
    <w:p>
      <w:r>
        <w:rPr>
          <w:b/>
        </w:rPr>
        <w:t>E. 2.2.1</w:t>
      </w:r>
    </w:p>
    <w:p>
      <w:r>
        <w:t>Conformément à l’art. 14 CP, quiconque agit comme la loi l’ordonne ou l’autorise se comporte de manière licite, même si l’acte est punissable en vertu du présent code ou d’une autre loi. Selon la jurisprudence, cette norme peut, dans certaines hypothèses, exclure la culpabilité en cas d’atteinte à l’honneur. Il en va notamment ainsi du juge ou du fonctionnaire dans le cadre de son devoir de motiver une décision, d’un officier de police qui doit faire un rapport, d’un témoin tenu de déposer, de la partie à un procès en tant qu’elle supporte le fardeau de l’allégation, et, sous certaines conditions, de l’avocat représentant une partie et du témoin qui déclare ce qu’il tient pour vrai (ATF 135 IV 177 consid. 4 ; ATF 131 IV 154 consid. 1.3.1 ; ATF 123 IV 97 consid. 2c/aa ; TF 6B_475/2020 du 31 août 2020 consid. 2.2.2 et les références citées). En effet, il s’agit, dans ces situations, de tenir dûment compte de la situation particulière de celui qui est tenu par la loi de s’exprimer. En particulier, le juge ou le fonctionnaire qui, dans l’exercice de ses fonctions, a l’obligation</w:t>
      </w:r>
    </w:p>
    <w:p>
      <w:r>
        <w:t>- 8 - de motiver sa décision, doit invoquer des faits constitutifs d’une atteinte à l’honneur ou porter un jugement de valeur sur les circonstances personnelles ou les motifs d’autrui, est protégé par l’art. 14 CP dans la mesure où ses propos sont en rapport direct avec l’objet de la décision et qu’ils n’excèdent pas ce qui est nécessaire pour motiver celle-ci (ATF 135 IV 177 consid. 4 ; ATF 116 IV 211 consid. 4a/bb ; ATF 106 IV 179 consid. 3 ; TF 6B_850/2008 du 26 décembre 2008 consid. 2.2 ; Riklin, in : Niggli/Wiprächtiger [éd.], Basler Kommentar, Strafrecht II 4e éd. 2019, n. 56 ad art. 173 CP et les références citées ; Dupuis et al. [éd.], Code pénal, Petit commentaire, 2e éd. 2017, n. 22 ad art. 14 CP). La licéité de l’acte est, en tous les cas, subordonnée à la condition qu’il soit proportionné à son but (ATF 107 IV 84 consid. 4 ; TF 6B_507/2017 du 8 septembre 2017 consid. 3.4).</w:t>
      </w:r>
    </w:p>
    <w:p>
      <w:r>
        <w:rPr>
          <w:b/>
        </w:rPr>
        <w:t>E. 2.2.2</w:t>
      </w:r>
    </w:p>
    <w:p>
      <w:r>
        <w:t>L’art. 173 CP, comme l’art. 174 CP, protège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d'être humain (ATF 145 IV 462 consid. 4.2.2 ; ATF 137 IV 313 consid. 2.1.1 ; ATF 132 IV 112 consid.</w:t>
      </w:r>
    </w:p>
    <w:p>
      <w:r>
        <w:rPr>
          <w:b/>
        </w:rPr>
        <w:t>E. 2.3</w:t>
      </w:r>
    </w:p>
    <w:p>
      <w:r>
        <w:t>En l’espèce, le recourant, faisant pour l’essentiel référence à la phrase suivante employée par la Procureure : « les nombreuses décisions versées au dossier ont permis de démontrer que les propos tenus par le prévenu (ndr : A.O.________) étaient conformes à la vérité », considère avoir été « bafoué dans son honneur » avec une intensité telle qu’il se justifie d’ouvrir une instruction. Cela étant, force est de constater que les propos tenus par la Procureure étaient dans un rapport direct avec l’affaire et qu’ils n’excédaient pas ce qui était nécessaire pour motiver son ordonnance. La procureure était en effet obligée de dire pourquoi, à tort ou à raison, elle classait la plainte. Dans ce cadre, on conçoit tout à fait que cette magistrate, afin de faire la lumière sur les faits qui lui étaient soumis, ait versé plusieurs décisions judiciaires au dossier qu’elle instruisait et qu’elle se soit appuyée sur certaines de ces pièces pour fonder son argumentation. La façon dont elle exprime ses conclusions est proportionnée aux circonstances et au but visé. Il n’apparaît donc pas, sous l’angle de l’art. 14 CP, que la Procureure se soit rendue coupable de l’infraction de diffamation dont se prévaut le recourant, pas plus que de toute autre infraction attentatoire à l’honneur, mais, au contraire, il s’avère qu’elle s’est limitée à exprimer uniquement ce qui était nécessaire à l’accomplissement de ses fonctions. Aucune mesure d’instruction n’étant de nature à mener à une appréciation différente, c’est à bon droit que le Ministère public central a refusé d’entrer en matière sur la plainte de M.________.</w:t>
      </w:r>
    </w:p>
    <w:p>
      <w:r>
        <w:t>- 10 - Pour le surplus, les arguments que le recourant soulève s’agissant de la bonne administration ou non des preuves par la Procureure ne sont pas pertinents dans le cadre de la présente cause, ce d’autant que ces questions ont été tranchées par la Cour de céans dans son arrêt précité du 8 juillet 2021.</w:t>
      </w:r>
    </w:p>
    <w:p>
      <w:r>
        <w:rPr>
          <w:b/>
        </w:rPr>
        <w:t>E. 3</w:t>
      </w:r>
    </w:p>
    <w:p>
      <w:r>
        <w:t>Il résulte de ce qui précède, le recours, manifestement mal fondé, doit être rejeté sans échange d’écritures (art. 390 al. 2 CPP) et l’ordonnance entreprise confirmée. Les frais de la procédure de recours, constitués du seul émolument d’arrêt (art. 422 al. 1 CPP), par 990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17 novembre 2021 est confirmée. III. Les frais d’arrêt, par 990 fr. (neuf cent nonante francs), sont mis à la charge de M.________. IV. L’arrêt est exécutoire. Le président : La greffière :</w:t>
      </w:r>
    </w:p>
    <w:p>
      <w:r>
        <w:t>- 11 - Du Le présent arrêt, dont la rédaction a été approuvée à huis clos, est notifié, par l'envoi d'une copie complète, à : - Me Nicolas Rouiller, avocat (pour M.________), - M. le Procureur général du canton de Vaud,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