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PE21.014428 vom 17. Mai 2022</w:t>
      </w:r>
    </w:p>
    <w:p>
      <w:r>
        <w:t>VD Tribunal cantonal, 2022-05-17, FR</w:t>
      </w:r>
    </w:p>
    <w:p>
      <w:r>
        <w:rPr>
          <w:b/>
        </w:rPr>
        <w:t xml:space="preserve">Quelle: </w:t>
      </w:r>
      <w:r>
        <w:t>https://mcp.opencaselaw.ch/entscheid/vd_gerichte_PE21.014428</w:t>
      </w:r>
    </w:p>
    <w:p>
      <w:r>
        <w:t>FR: VD_GERICHTE PE21.014428 du 17 mai 2022</w:t>
      </w:r>
    </w:p>
    <w:p>
      <w:r>
        <w:t>IT: VD_GERICHTE PE21.014428 del 17 maggio 2022</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w:t>
      </w:r>
    </w:p>
    <w:p>
      <w:r>
        <w:t>- 5 -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w:t>
      </w:r>
    </w:p>
    <w:p>
      <w:r>
        <w:rPr>
          <w:b/>
        </w:rPr>
        <w:t>E. 2</w:t>
      </w:r>
    </w:p>
    <w:p>
      <w:r>
        <w:t>Dans son arrêt du 26 février 2024, le Tribunal fédéral a retenu ce qui suit (consid. 1.3) : « (…) Force est d'admettre que le rapport de dénonciation auquel la cour cantonale renvoie (pièce 4) se limite à exposer que l'objet saisi est un appareil à électrochocs et à mentionner la teneur des dispositions légales topiques. Il n'y figure aucun détail sur l'objet concerné ni sur ses caractéristiques. Bien que la cour cantonale en livre quelques éléments sur la base de pièces figurant au dossier (pièces 10/3 et 10/4), qui se révèlent être des impressions de pages du site internet "[...]" produites par le recourant, le jugement attaqué ne permet pas de comprendre comment la crédibilité des informations figurant sur lesdites pièces a été appréciée. On ignore ainsi quelle crédibilité a été accordée aux maigres éléments qui en ressortent au sujet de la puissance de l'appareil litigieux. On notera à cet égard que la valeur de 12 millions de volts mentionnée sur ces pièces tranche avec les tensions de 100'000 et 500'000 volts décrites par la doctrine. On ignore également si l'image à laquelle les juges précédents se réfèrent correspond réellement ou non audit objet, et si cette même image est digne de foi, ou s'il s'agit d'une simple illustration prétexte. En tout état, il résulte clairement des développements précités (cf. supra consid. 1.2), qu'il a été question de fixer des limites de puissances pour définir quels objets l'art. 4 al. 1 let. e LArm est susceptible de viser. En ce sens, à défaut d'éléments précis et fiables concernant les caractéristiques spécifiques de l'objet</w:t>
      </w:r>
    </w:p>
    <w:p>
      <w:r>
        <w:t>- 6 - litigieux, le Tribunal fédéral n'est pas en mesure de vérifier la bonne application du droit fédéral sur ce point, qui se trouve à la base de la condamnation du recourant. Il convient donc d'admettre le recours pour ce motif, le jugement attaqué devant être annulé et la cause renvoyée à la cour cantonale pour nouvelle décision après clarification de ces éléments (cf. art. 112 al. 1 let. b et 3 LTF). » Comme indiqué par l’Office fédéral de la police, l’appareil à électrochocs a été détruit, de sorte qu’il est impossible de procéder à une étude détaillée de ses caractéristiques, notamment concernant sa tension. Par conséquent, l’appelant doit être libéré du chef d’infraction de délit à la LArm.</w:t>
      </w:r>
    </w:p>
    <w:p>
      <w:r>
        <w:rPr>
          <w:b/>
        </w:rPr>
        <w:t>E. 3</w:t>
      </w:r>
    </w:p>
    <w:p>
      <w:r>
        <w:t>Vu ce qui précède, les frais de procédure de première instance, par 600 fr., seront laissés à la charge de l’Etat (art. 423 CPP). La liste des opérations produite par Me Jean-Lou Maury, avocat de choix du prévenu, indiquant 17 h d’activité pour la période du 7 juillet 2021 au 17 mai 2022, au tarif horaire de 250 fr., est admise (P. 18). Le défraiement s’élève ainsi à 4'250 fr., auquel il faut ajouter 5 % pour les débours (art. 19 al. 2 TDC [tarif des dépens en matière civile du 23 novembre 2010 ; BLV 270.11.6] par renvoi de l’art. 26a al. 6 TFIP [tarif des frais de procédure et indemnités en matière pénale du 28 septembre 2010 ; BLV 312.03.1]), soit 212 fr. 50, et 7,7 % de TVA sur le tout, soit 343 fr. 60, de sorte que l’indemnité se monte au total à 4'806 fr. 10. Cette indemnité sera laissée à la charge de l’Etat.</w:t>
      </w:r>
    </w:p>
    <w:p>
      <w:r>
        <w:rPr>
          <w:b/>
        </w:rPr>
        <w:t>E. 4</w:t>
      </w:r>
    </w:p>
    <w:p>
      <w:r>
        <w:t>Les frais d’appel de la présente procédure, par 660 fr. (art. 21 al. 1 TFIP), seront laissés à la charge de l’Etat. La liste des opérations produite par Me Jean-Lou Maury pour la procédure d’appel avant l’arrêt du Tribunal fédéral, indiquant 7 h 20 d’activité pour la période du 21 juin 2022 au 2 novembre 2022, au tarif horaire de 250 fr., est admise (P. 29/1). Le défraiement s’élève ainsi à 1'833 fr. 33, auquel il faut ajouter 2 % pour les débours (art. 19 al. 2 TDC par renvoi de l’art. 26a al. 6 TFIP), soit 36 fr. 67, et 7,7 % de TVA sur le</w:t>
      </w:r>
    </w:p>
    <w:p>
      <w:r>
        <w:t>- 7 - tout, soit 144 fr., de sorte que l’indemnité se monte au total à 2'014 francs. Elle sera laissée à la charge de l’Etat. La liste des opérations produite par Me Jean-Lou Maury pour la procédure d’appel après l’arrêt du Tribunal fédéral, indiquant 2 h 40 d’activité pour la période du 25 mars 2024 au 21 août 2024, au tarif horaire de 250 fr., est admise (P. 44/1). Le défraiement s’élève ainsi à 666 fr. 66, auquel il faut ajouter 2 % pour les débours, soit 13 fr. 34, et 8,1 % de TVA sur le tout, soit 55 fr. 10, de sorte que l’indemnité se monte au total à 735 fr. 10. Elle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