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PE21.014357 vom 2. Mai 2022</w:t>
      </w:r>
    </w:p>
    <w:p>
      <w:r>
        <w:t>VD Tribunal cantonal, 2022-05-02, FR</w:t>
      </w:r>
    </w:p>
    <w:p>
      <w:r>
        <w:rPr>
          <w:b/>
        </w:rPr>
        <w:t xml:space="preserve">Quelle: </w:t>
      </w:r>
      <w:r>
        <w:t>https://mcp.opencaselaw.ch/entscheid/vd_gerichte_PE21.014357</w:t>
      </w:r>
    </w:p>
    <w:p>
      <w:r>
        <w:t>FR: VD_GERICHTE PE21.014357 du 2 mai 2022</w:t>
      </w:r>
    </w:p>
    <w:p>
      <w:r>
        <w:t>IT: VD_GERICHTE PE21.014357 del 2 maggio 2022</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w:t>
      </w:r>
    </w:p>
    <w:p>
      <w:r>
        <w:rPr>
          <w:b/>
        </w:rPr>
        <w:t>E. 1.2</w:t>
      </w:r>
    </w:p>
    <w:p>
      <w:r>
        <w:t>Interjeté dans le délai légal par un détenu qui a qualité pour recourir (art. 222 et 382 al. 1 CPP) et dans les formes prescrites (art. 385 al. 1 CPP), le recours est recevable. 2. En vertu de l’art. 228 al. 1 CPP, le prévenu peut présenter en tout temps une demande de libération de la détention provisoire. Cette demande doit être admise si les conditions de la détention provisoire ne sont pas ou plus remplies.</w:t>
      </w:r>
    </w:p>
    <w:p>
      <w:r>
        <w:t>- 6 -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 Le recourant ne conteste pas, à juste titre, l’existence de soupçons suffisants. Il conteste en revanche l’existence des risques de fuite, de collusion et de réitération. 3.1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w:t>
      </w:r>
    </w:p>
    <w:p>
      <w:r>
        <w:rPr>
          <w:b/>
        </w:rPr>
        <w:t>E. 4</w:t>
      </w:r>
    </w:p>
    <w:p>
      <w:r>
        <w:t>Les conditions de l’art. 221 al. 1 CPP étant alternatives (TF 1B_249/2011 du 7 juin 2011 consid. 2.4 ; CREP 1er novembre 2021/974 consid. 4), l’existence d’un risque de fuite dispense d’examiner si la détention provisoire s’impose également en raison des risques de collusion et de réitération invoqués par le Ministère public.</w:t>
      </w:r>
    </w:p>
    <w:p>
      <w:r>
        <w:rPr>
          <w:b/>
        </w:rPr>
        <w:t>E. 4.3</w:t>
      </w:r>
    </w:p>
    <w:p>
      <w:r>
        <w:t>; ATF 125 I 60 consid. 3a ; ATF 117 Ia 69 consid. 4a). 3.2 En l’espèce, s’il est vrai que le recourant est titulaire d’un permis C et vit en Suisse depuis de nombreuses années, il a toutefois conservé des attaches particulièrement solides avec son pays d’origine. En</w:t>
      </w:r>
    </w:p>
    <w:p>
      <w:r>
        <w:t>- 7 - effet, il s’y rend régulièrement et toute la famille de son épouse réside là- bas. Par ailleurs, il possède les clés d’une maison de campagne au Kosovo, au sujet desquelles il a fourni des explications laborieuses, puisqu’il a d’abord refusé de s’exprimer sur leur origine, se limitant à déclarer qu’elles ne servaient « à rien » (PV audition du 12 février 2022, D.12 in fine), avant de reconnaître qu’elles étaient « en lien avec le Kosovo » (PV audition d’arrestation du 24 février 2022, ll 96-97), pour finalement indiquer qu’il s’agissait des clés du logement de son oncle, auquel il n’aurait plus accès (PV audition du 30 mars 2022, R. 4). Dans ces circonstances, et compte tenu de la peine privative de liberté d’au moins une année à laquelle il s’expose au vu des faits reprochés et de l’infraction en cause (art. 19 al. 2 LStup), il est fortement à craindre que le recourant quitte la Suisse pour s’établir dans son pays d’origine afin de se soustraire à la procédure pénale. Peu importe à cet égard qu’un sursis soit théoriquement possible. En outre, le risque de fuite apparaît d’autant plus important que l’intéressé est perclus de dettes, qu’il est susceptible d’expulsion obligatoire en raison du chef d’accusation d’infraction grave à la loi fédérale sur les stupéfiants (art. 66a al. 1 let. o CP) et qu’il pourrait dès lors être tenté de précipiter son départ de Suisse.</w:t>
      </w:r>
    </w:p>
    <w:p>
      <w:r>
        <w:rPr>
          <w:b/>
        </w:rPr>
        <w:t>E. 5</w:t>
      </w:r>
    </w:p>
    <w:p>
      <w:r>
        <w:t>Le recourant conclut à la mise en place de mesures de substitution à forme d’un traitement ambulatoire de son addiction aux stupéfiants, de contrôle d’abstinence et du dépôt de son passeport en mains du Ministère public. A cet égard, il expose que son activité délictueuse serait directement en lien avec sa consommation de stupéfiants qu’il devait financer.</w:t>
      </w:r>
    </w:p>
    <w:p>
      <w:r>
        <w:t>- 8 -</w:t>
      </w:r>
    </w:p>
    <w:p>
      <w:r>
        <w:rPr>
          <w:b/>
        </w:rPr>
        <w:t>E. 5.1</w:t>
      </w:r>
    </w:p>
    <w:p>
      <w:r>
        <w:t>Conformément au principe de la proportionnalité (art. 36 al. 3 Cst. [Constitution fédérale de la Confédération suisse du 18 avril 1999 ; RS 101];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D’après le Tribunal fédéral, une mesure de substitution ayant les caractéristiques d’une mesure au sens des art. 59 ss CP (Code pénal suisse du 21 décembre 1937 ; RS 311.0) ne peut être ordonnée par le juge de la détention sans que toutes les conditions en soient a priori assurées, ce qui suppose au minimum l’avis d’un expert psychiatre (TF 1B_91/2021</w:t>
      </w:r>
    </w:p>
    <w:p>
      <w:r>
        <w:t>- 9 - du 10 mars 2021 consid. 2.3 ; TF 193/2020 du 7 mai 2020 consid. 5 ; TF 1B_171/2019 du 8 mai 2019 consid. 3.1 ; Frei/Zuberbühler Elsässer, in : Donatsch/Lieber/Summers/Wohlers [éd.], Zürcher Kommentar, Kommentar zur schweizerischen Strafprozessordnung, 3e éd., Zurich 2020, n. 9 ad art. 237 CPP ; Coquoz, in : Jeanneret et al. [éd.], op. cit., n. 13a ad art. 237 CPP).</w:t>
      </w:r>
    </w:p>
    <w:p>
      <w:r>
        <w:rPr>
          <w:b/>
        </w:rPr>
        <w:t>E. 5.2</w:t>
      </w:r>
    </w:p>
    <w:p>
      <w:r>
        <w:t>En l’espèce, c’est à juste titre que le Tribunal des mesures de contrainte a considéré qu’aucune des mesures proposées était de nature à pallier le risque de fuite. En effet, de jurisprudence constante, le dépôt de pièces d’identité n’est pas de nature à empêcher le recourant de quitter le territoire suisse pour un pays limitrophe ou de disparaître dans la clandestinité (TF 1B_158/2021 du 20 avril 2021 consid. 3.5 et les références citées ; TF 1B_347/2019 du 17 septembre 2019 consid. 4.3.1 ; TF 1B_362/2019 du 17 septembre 2019 consid. 3.3.1 et 3.3.2). Par ailleurs, il n’existe pas, en l’état du dossier, d’avis circonstancié d’expert posant un diagnostic précis d’une éventuelle toxico-dépendance, ni se prononçant sur les questions de savoir si les infractions commises sont en corrélation avec cette dépendance, et si un traitement ambulatoire serait de nature à détourner l’intéressé de nouvelles infractions en relation avec cette addiction. Au demeurant, un tel traitement ne servirait qu’à pallier le risque de réitération et non de fuite. Il en va de même de contrôles d’abstinence.</w:t>
      </w:r>
    </w:p>
    <w:p>
      <w:r>
        <w:rPr>
          <w:b/>
        </w:rPr>
        <w:t>E. 6</w:t>
      </w:r>
    </w:p>
    <w:p>
      <w:r>
        <w:t>Pour le surplus, au terme de la détention provisoire ordonnée par le Tribunal des mesures de contrainte, le recourant aura subi trois mois de détention, ce qui ne saurait être considéré comme excessif au vu de la gravité des faits reprochés, pouvant notamment s’avérer, à ce stade, constitutifs d’une infraction grave à la loi fédérale sur les stupéfiants, punissable d’une peine privative de liberté d’un an au moins (art. 19 al. 2 LStup). Partant, le principe de la proportionnalité est respecté (art. 212 al. 3 CPP)</w:t>
      </w:r>
    </w:p>
    <w:p>
      <w:r>
        <w:t>- 10 -</w:t>
      </w:r>
    </w:p>
    <w:p>
      <w:r>
        <w:rPr>
          <w:b/>
        </w:rPr>
        <w:t>E. 7</w:t>
      </w:r>
    </w:p>
    <w:p>
      <w:r>
        <w:t>Au vu de ce qui précède, le recours, manifestement mal fondé, doit être rejeté sans échange d'écritures (art. 390 al. 2 CPP) et l'ordonnance entreprise confirmée.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450 fr. (2 heures 30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9 fr., et la TVA, par 35 fr. 35, soit à 495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avril 2022 est confirmée. III. L’indemnité allouée au défenseur d’office d’A.G.________ est fixée à 495 fr. (quatre cent nonante-cinq francs), TVA et débours compris. IV. Les frais d’arrêt, par 1’100 fr. (mille cent francs), ainsi que l’indemnité due au défenseur d’office d’A.G.________, par 495 fr. (quatre cent nonante-cinq francs), sont mis à la charge de ce dernier. V. Le remboursement à l’Etat de l’indemnité allouée au chiffre III</w:t>
      </w:r>
    </w:p>
    <w:p>
      <w:r>
        <w:t>- 11 - ci-dessus ne sera exigible que pour autant que la situation financière d’A.G.________ le permette. VI. L’arrêt est exécutoire. La présidente : Le greffier : Du Le présent arrêt, dont la rédaction a été approuvée à huis clos, est notifié, par l'envoi d'une copie complète, à : - Me David Moinat, avocat (pour A.G.________), - Ministère public central, et communiqué à : - Mme la Présidente du Tribunal des mesures de contrainte, - Mme la Procureure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- 12 -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