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PE21.014296 vom 18. Dezember 2023</w:t>
      </w:r>
    </w:p>
    <w:p>
      <w:r>
        <w:t>VD Tribunal cantonal, 2023-12-18, FR</w:t>
      </w:r>
    </w:p>
    <w:p>
      <w:r>
        <w:rPr>
          <w:b/>
        </w:rPr>
        <w:t xml:space="preserve">Quelle: </w:t>
      </w:r>
      <w:r>
        <w:t>https://mcp.opencaselaw.ch/entscheid/vd_gerichte_PE21.014296</w:t>
      </w:r>
    </w:p>
    <w:p>
      <w:r>
        <w:t>FR: VD_GERICHTE PE21.014296 du 18 décembre 2023</w:t>
      </w:r>
    </w:p>
    <w:p>
      <w:r>
        <w:t>IT: VD_GERICHTE PE21.014296 del 18 dicembre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Déposé en temps utile, le 22 octobre étant un dimanche, et dans les formes, par la partie plaignante qui a qualité pour recourir, le recours est recevable.</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La recourante conteste que l’absence de contact avec T.____ suffise à le disculper. Faisant référence à la notion d’auteur médiat, elle fait en substance valoir que ce dernier fait l’objet d’autres plaintes pénales pour escroquerie, qu’il a probablement utilisé le climat d’erreur dans lequel était plongé M.____ pour le conduire à l’escroquer, que ce dernier a d’ailleurs lui-même déposé plainte pénale contre T.____, qu’il se pourrait de surcroît que les jetons numériques qui lui ont été vendus n’aient dès le départ pas été monétisables et qu’on ne peut dès lors exclure que T.____ ait joué un rôle dans la perte de son investissement de 100’000 francs. Des investigations pour définir son rôle exact seraient ainsi nécessaires et une instruction devrait être ouverte.</w:t>
      </w:r>
    </w:p>
    <w:p>
      <w:r>
        <w:rPr>
          <w:b/>
        </w:rPr>
        <w:t>E. 2.2.1</w:t>
      </w:r>
    </w:p>
    <w:p>
      <w:r>
        <w:t>Conformément à l’art. 310 al. 1 CPP, le ministère public rend immédiatement une ordonnance de non-entrée en matière s’il ressort de la dénonciation ou du rapport de police que les éléments constitutifs de</w:t>
      </w:r>
    </w:p>
    <w:p>
      <w:r>
        <w:t>- 8 -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Aux termes de l'art. 146 al. 1 CP,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w:t>
      </w:r>
    </w:p>
    <w:p>
      <w:r>
        <w:t>- 9 -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 [éd.], Code pénal, Petit commentaire, 2e éd., Bâle 2017, n. 1 ad art. 146 CP).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précité consid. 5.2 ; TF 6B_346/2020 du 21 juillet 2020 consid. 1.2 ; TF 6B_446/2018 du 17 juillet 2018 consid. 2.1 et les réf. citées). L'astuce n'est pas réalisée si la dupe pouvait se protéger avec un minimum d'attention ou éviter l'erreur avec le minimum de prudence que l'on pouvait attendre d'elle. Il n'est cependant pas nécessaire qu'elle ait fait preuve de la plus grande diligence ou qu'elle ait</w:t>
      </w:r>
    </w:p>
    <w:p>
      <w:r>
        <w:t>- 10 -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Alors que l'auteur direct ("unmittelbarer Täter") est celui qui réalise lui-même l'ensemble des éléments objectifs et subjectifs constitutifs d'une infraction intentionnelle (ATF 120 IV 17 consid. 2d), l'auteur médiat ("mittelbarer Täter")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(ATF 149 IV 57 consid. 3.2.1 ; ATF 138 IV 70 consid. 1.4 ; ATF 120 IV 17 consid. 2d ; TF 6B_338/2019 du 16 avril 2019 consid. 4.1 ; TF 6B_898/2015 du 27 juin 2016 consid. 4.1).</w:t>
      </w:r>
    </w:p>
    <w:p>
      <w:r>
        <w:rPr>
          <w:b/>
        </w:rPr>
        <w:t>E. 2.3</w:t>
      </w:r>
    </w:p>
    <w:p>
      <w:r>
        <w:t>En l’espèce et dès lors qu’un auteur médiat est également punissable, c’est à tort que la procureure a exclu toute tromperie de la part de T.____ pour le seul motif qu’il n’a jamais été en contact avec la recourante. Le Ministère public ne peut pas non plus être suivi en tant qu’il exclut la réalisation des éléments constitutifs objectifs et subjectifs de l’infraction d’escroquerie, en particulier lorsqu’il indique qu’aucun élément trompeur ne pourrait être reproché à T.____ et qu’aucun élément ne</w:t>
      </w:r>
    </w:p>
    <w:p>
      <w:r>
        <w:t>- 11 - permettrait de relier la perte des valeurs des jetons [...] et [...] à une intervention de ce dernier. Plusieurs éléments semblent en effet indiquer que T.____ aurait pu se servir de M.____ afin de commettre une escroquerie au préjudice de la plaignante. Il ressort en effet d’une communication du Bureau de communication en matière de blanchiment d’argent (ci-après : MROS) au Ministère public du 21 février 2022 (P. 16) qu’aux termes de l’analyse d’informations transmises par deux intermédiaires financiers, la conception et le commerce de jetons ERC 20 [...] et [...] pourrait faire partie d’une entreprise criminelle de type escroquerie aux investissements. Les auteurs de cette communication ont indiqué qu’ils craignaient que la société émettrice [...] n’ait pas d’activité opérationnelle, que dès lors les actifs virtuels n’aient pas de valeur de marché et que les promesses faites contractuellement aux victimes présumées soient trompeuses. Ils indiquaient également craindre que certains artifices techniques aient conforté les victimes présumées dans une possible erreur. Ils précisaient enfin qu’au regard des informations renseignées par T.____, ils craignaient que ce dernier puisse jouer un rôle significatif dans cette entreprise (P. 16). Selon les vérifications effectuées par le MROS, le(s) contrat(s) de vente de jetons [...] et [...] évoquant une raréfaction de l’offre semblerai(nt) être trompeur(s), dès lors que l’actif virtuel ne serait pas liquide et que seulement 10 adresses contrôleraient 95% des […]. Le(s) contrat(s) de vente suggérant que la baisse des prix des jetons [...] puisse être corrélée à la baisse générale du marché semblerai(en)t également trompeur(s) dès lors que certains éléments suggéreraient que le prix de cet actif pourrait être manipulé notamment via des fonctionnalités du smart contrat. Pour les auteurs de la communication, T.____ pourrait être impliqué. Il est par ailleurs établi que le 13 août 2021, la recourante a acquis deux lots de jetons [...] et [...] auprès de D.___ SA pour la somme de 100'000 francs (P. 64/1). Ces jetons ont bien été crédités sur le portefeuille</w:t>
      </w:r>
    </w:p>
    <w:p>
      <w:r>
        <w:t>- 12 - numérique de la recourante mais ne semblent toutefois avoir aucune valeur (P. 64 1/2/3). Au demeurant, le contrat d’achat des jetons numériques signé par J.____ et qui pourrait avoir été rédigé par T.____ lui- même – selon les déclarations de M.____ (PV aud. 2 lignes 335 ss.) – contient précisément la mention considérée comme suspecte par le MROS selon laquelle la baisse des prix des jetons […] pourrait être corrélée à la baisse générale du marché (P. 64/1, préambule, par. 4). Il résulte en outre des déclarations de M.____ qu’avant de recommander l’achat des jetons [...] et [...] à la recourante, il avait à plusieurs reprises été en contact avec T.____, qui se présentait comme le « chairman » de la société [...] (PV aud. 2 lignes 110 ss). T.____ lui avait fait la promotion des activités de la société en lui envoyant des articles (PV aud. 2 lignes 191 ss). Il lui avait par ailleurs affirmé que les jetons [...] et [...] allaient être lancés sur un marché d’exchange et que d’autres transactions d’envergure « faramineuses » allaient avoir lieu, ce qui ferait monter le cours des jetons (PV aud. 2 lignes 52 ss). Selon M.____, après que J.____ lui avait dit qu’elle souhaitait investir dans les cryptomonnaies, il lui avait parlé des jetons numériques [...] et [...] et il avait contacté T.____ afin de l’en informer (PV aud. 2, lignes 317ss et 367ss). Dans les jours qui avaient précédé le 13 août 2021, T.____ l’avait contacté pour lui dire que les cours du jeton [...] montaient et qu’il fallait s’empresser d’en acheter (PV aud. 2, lignes 255 ss). M.____ a encore déclaré avoir découvert, dans l’année qui avait suivi la conclusion du contrat du 13 août 2021, que T.____ manipulait le cours de jetons [...] sur les plateformes et qu’il employait le même stratagème avec tous les acheteurs de jetons [...] et [...], auprès desquels il insistait sur l’urgence d’investir en raison d’une grosse transaction en cours (PV aud. 2, lignes 375 à 389). Au demeurant, il apparait que T.____ a profité de la vente conclue entre la recourante et D.___ SA puisque cette société a versé à celui-ci, le même jour, soit le 13 août 2021, la somme de 100'000 fr. pour l’acquisition de jetons [...] dont une partie était destinée à la recourante (P. 72/2, 72/3 et PV aud. 2 lignes 313 ss.). Les deux contrats, soit celui passé le 13 août 2021 entre T.____ et D.___ SA et celui signé le même jour</w:t>
      </w:r>
    </w:p>
    <w:p>
      <w:r>
        <w:t>- 13 - par D.___ SA et la recourante, présentent d’ailleurs beaucoup de similitudes (P. 72/1 et 72/2). Comme déjà relevé et selon les déclarations de M.____, ils pourraient avoir été rédigés par T.____ lui-même (PV aud. 2 lignes 335 ss). Enfin, la Chambre de céans relève que T.____ a des antécédents en matière d’infractions contre le patrimoine et dans le domaine de la finance. En effet, selon l’extrait du casier judiciaire français, il a été condamné le 24 février 2010 à 10 mois d’emprisonnement avec sursis pour réalisation par professionnel d’opérations boursières grâce à des informations privilégiées non rendues publiques, le 25 juin 2014, à un an et 6 mois d’emprisonnement avec sursis pour escroquerie et, le 12 décembre 2019, à une amende de 10'000 fr., pour violation des obligations de déclarer au sens de la loi sur l’infrastructure des marchés financiers (LIMF ; RS 958.1). Au vu de ces éléments, il apparait que T.____ pourrait clairement être impliqué dans une escroquerie commise au détriment de la recourante en qualité d’auteur médiat, de sorte que c’est à tort que le Ministère public a d’emblée rendu une ordonnance de non-entrée en matière.</w:t>
      </w:r>
    </w:p>
    <w:p>
      <w:r>
        <w:rPr>
          <w:b/>
        </w:rPr>
        <w:t>E. 3</w:t>
      </w:r>
    </w:p>
    <w:p>
      <w:r>
        <w:t>En conclusion, le recours doit être admis, l’ordonnance annulée et la cause renvoyée au Ministère public pour qu’il étende l’instruction ouverte à l’encontre de T.____ aux faits dénoncés par J.____ et les instruise. Vu l’admission du recours, les frais de la procédure de recours, constitués du seul émolument d'arrêt, par 1’430 fr. (art. 20 al. 1 TFJP [tarif des frais judiciaires pénaux du 28 septembre 2010 ; RSV 312.03.1]), seront laissés à la charge de l’Etat (art. 428 al. 4 CPP). La recourante, qui obtient gain de cause et qui a procédé avec l’assistance d’un mandataire professionnel, a droit, à la charge de l’Etat, à une juste indemnité pour les dépenses obligatoires occasionnées par la</w:t>
      </w:r>
    </w:p>
    <w:p>
      <w:r>
        <w:t>- 14 - procédure de recours (art. 436 al. 3 CPP ; TF 6B_1004/2015 du 5 mai 2016 consid. 1.3 ; Jositsch/Schmid, Schweizerische Strafprozessordnung, Praxiskommentar, 3e éd., 2023, n. 4 ad art. 436 CPP). Compte tenu de la nature de l’affaire et de l’acte de recours déposé, les honoraires doivent être fixés à 1’200 fr., correspondant à quatre heures d’activité nécessaire d’avocat au tarif horaire de 300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24 fr., plus la TVA au taux de 7,7 %, par 94 fr. 20, soit à 1’319 fr. au total en chiffres arrondis. Par ces motifs, la Chambre des recours pénale prononce : I. Le recours est admis. II. L’ordonnance du 11 octobre 2023 est annulée. III. Le dossier de la cause est renvoyé au Ministère public central, division criminalité économique pour qu’il procède dans le sens des considérants. IV. Une indemnité de 1'319 fr. (mille trois cent dix-neuf francs) est allouée à J.____ pour les dépenses occasionnées par la procédure de recours, à charge de l’Etat. V. Les frais d’arrêt, par 1'430 fr. (mille quatre cent trente francs), sont laissés à la charge de l’Etat. VI. L’arrêt est exécutoire. La présidente : La greffière :</w:t>
      </w:r>
    </w:p>
    <w:p>
      <w:r>
        <w:t>- 15 - Du Le présent arrêt, dont la rédaction a été approuvée à huis clos, est notifié, par l'envoi d'une copie complète, à : - Me Sébastien Friant, avocat (pour J.____),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