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PE21.014269 vom 30. März 2022</w:t>
      </w:r>
    </w:p>
    <w:p>
      <w:r>
        <w:t>VD Tribunal cantonal, 2022-03-30, FR</w:t>
      </w:r>
    </w:p>
    <w:p>
      <w:r>
        <w:rPr>
          <w:b/>
        </w:rPr>
        <w:t xml:space="preserve">Quelle: </w:t>
      </w:r>
      <w:r>
        <w:t>https://mcp.opencaselaw.ch/entscheid/vd_gerichte_PE21.014269</w:t>
      </w:r>
    </w:p>
    <w:p>
      <w:r>
        <w:t>FR: VD_GERICHTE PE21.014269 du 30 mars 2022</w:t>
      </w:r>
    </w:p>
    <w:p>
      <w:r>
        <w:t>IT: VD_GERICHTE PE21.014269 del 30 marzo 2022</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(TF 1B_388/2020 du 2 septembre 2020 consid. 1 ; CREP 19 juillet 2019/583 ; Harari/Jakob/Santamaria, in : Jeanneret et al. [éd.], Commentaire romand, Code de procédure pénale suisse, 2e éd., Bâle 2019 [ci-après : CR-CPP], n. 25 ad art. 134 CPP).</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On rappellera également que l’art. 385 al. 2 CPP, qui prévoit qu’un mémoire peut être renvoyé au recourant pour être complété, ne permet pas de suppléer un défaut de motivation.</w:t>
      </w:r>
    </w:p>
    <w:p>
      <w:r>
        <w:t>- 4 -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[ci-après : Basler Kommentar], n. 1a ad art. 385 StPO ; Pitteloud, Code de procédure pénale suisse, Commentaire à l’usage des praticiens, Zurich/St-Gall 2012, n. 1126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Calame, in : Jeanneret et al. [éd.], CR-CPP, op. cit., n. 21 ad art. 385 CPP ; Guidon, in : Basler Kommentar, op. cit., n. 9c ad art. 396 StPO et les références citées).</w:t>
      </w:r>
    </w:p>
    <w:p>
      <w:r>
        <w:rPr>
          <w:b/>
        </w:rPr>
        <w:t>E. 1.3</w:t>
      </w:r>
    </w:p>
    <w:p>
      <w:r>
        <w:t>En l'espèce, le recours a été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w:t>
      </w:r>
    </w:p>
    <w:p>
      <w:r>
        <w:t>- 5 - Ministère public rejetant sa requête de confier le mandat d'office à un autre mandataire (art. 134 al. 2 CPP). En revanche, dès lors que le prévenu se borne pour toute motivation à indiquer que sa confiance en son avocat est rompue, sans plus ample explication, il est douteux qu’une telle motivation suffise au regard des exigences de motivation de l’art. 385 al. 1 CPP (cf. consid. 1.2 supra). Cette question peut toutefois demeurer ouverte dans la mesure où le recours doit de toute manière être rejeté pour les motifs qui suivent.</w:t>
      </w:r>
    </w:p>
    <w:p>
      <w:r>
        <w:rPr>
          <w:b/>
        </w:rPr>
        <w:t>E. 2.1</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Tel est le cas, par exemple,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célérité, en particulier lorsque le prévenu se trouve en détention (art. 5 al. 2 CPP ;</w:t>
      </w:r>
    </w:p>
    <w:p>
      <w:r>
        <w:t>- 6 - TF 1B_166/2020 du 25 juin 2020 consid. 3.1.2 ; TF 1B_187/2013 du 4 juillet 2013 consid. 2.2). En revanche,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1B_166/2020 précité consid. 3.1.2 ; TF 1B_285/2019 du 27 juin 2019 consid. 4).</w:t>
      </w:r>
    </w:p>
    <w:p>
      <w:r>
        <w:rPr>
          <w:b/>
        </w:rPr>
        <w:t>E. 2.2</w:t>
      </w:r>
    </w:p>
    <w:p>
      <w:r>
        <w:t>En l’occurrence, le recourant soutient que le lien de confiance avec son défenseur d’office est rompu, mais n’avance aucun élément tangible et objectif qui laisserait apparaître que la poursuite du mandat d'office ne serait plus justifiée ou ne pourrait pas raisonnablement lui être imposée. Comme le relève à juste titre le Ministère public, il ressort du dossier que Me [...], en plus d’avoir rendu visite à son client en prison en date du 3 février 2022, a participé à toutes les auditions effectuées depuis que son mandat de défenseur d’office lui a été confié, à l’exception des auditions de mises en cause pour lesquelles il s’est fait remplacer, et qu’il a requis et obtenu des mesures d’instruction supplémentaires (PV aud. 8, lignes 122 ss ; PV op. p. 8), de sorte que la défense du recourant semble au contraire être correctement assurée. Le grief du recourant est par conséquent infondé.</w:t>
      </w:r>
    </w:p>
    <w:p>
      <w:r>
        <w:rPr>
          <w:b/>
        </w:rPr>
        <w:t>E. 3</w:t>
      </w:r>
    </w:p>
    <w:p>
      <w:r>
        <w:t>Il résulte de ce qui précède que le recours, manifestement mal fondé, doit être rejeté, dans la mesure de sa recevabilité,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dans la mesure où il est recevable. II. L’ordonnance du 15 mars 2022 est confirmée. III. Les frais d’arrêt, par 660 fr. (six cent soixante francs), sont mis à la charge d’I.________. IV. L’arrêt est exécutoire. La présidente : Le greffier : Du Le présent arrêt, dont la rédaction a été approuvée à huis clos, est notifié, par l'envoi d'une copie complète, à : - M. I.________, - Me [...], avocat (pour I.________),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