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PE21.014223 vom 1. Februar 2024</w:t>
      </w:r>
    </w:p>
    <w:p>
      <w:r>
        <w:t>VD Tribunal cantonal, 2024-02-01, FR</w:t>
      </w:r>
    </w:p>
    <w:p>
      <w:r>
        <w:rPr>
          <w:b/>
        </w:rPr>
        <w:t xml:space="preserve">Quelle: </w:t>
      </w:r>
      <w:r>
        <w:t>https://mcp.opencaselaw.ch/entscheid/vd_gerichte_PE21.014223</w:t>
      </w:r>
    </w:p>
    <w:p>
      <w:r>
        <w:t>FR: VD_GERICHTE PE21.014223 du 1 février 2024</w:t>
      </w:r>
    </w:p>
    <w:p>
      <w:r>
        <w:t>IT: VD_GERICHTE PE21.014223 del 1 febbraio 2024</w:t>
      </w:r>
    </w:p>
    <w:p>
      <w:pPr>
        <w:pStyle w:val="Heading2"/>
      </w:pPr>
      <w:r>
        <w:t>Erwägungen</w:t>
      </w:r>
    </w:p>
    <w:p>
      <w:r>
        <w:rPr>
          <w:b/>
        </w:rPr>
        <w:t>E. 5.1</w:t>
      </w:r>
    </w:p>
    <w:p>
      <w:r>
        <w:t>Le Ministère public conteste la peine prononcée par les premiers juges, qu’il estime excessivement clémente. Il considère qu’au vu de la culpabilité de l’appelant, une peine privative de liberté ferme de 45 mois serait adéquate.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w:t>
      </w:r>
    </w:p>
    <w:p>
      <w:r>
        <w:t>- 27 - 169 ; ATF 141 IV 61 consid. 6.1.1 et les références citées ; TF 6B_836/2023 du 18 mars 2024 consid. 3.1 ; TF 6B_1237/2023 du 13 mars 2024 consid. 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- 28 - compte de toutes les circonstances y relatives (ATF 144 IV 313 précité consid. 1.1.2 ; TF 6B_1329/2023 précité ; TF 6B_1268/2023 du 21 décembre 2023 consid. 2.1).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w:t>
      </w:r>
    </w:p>
    <w:p>
      <w:r>
        <w:t>- 29 -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w:t>
      </w:r>
    </w:p>
    <w:p>
      <w:r>
        <w:rPr>
          <w:b/>
        </w:rPr>
        <w:t>E. 5.3</w:t>
      </w:r>
    </w:p>
    <w:p>
      <w:r>
        <w:t>La culpabilité de l’appelant est très lourde. Il n’a en effet pas hésité à porter atteinte à l’intégrité sexuelle et au bon développement de M.P.________, alors que, durant la période des faits, celle-ci était sous sa garde de fait et qu’il la savait fragile en raison de l’hospitalisation de sa mère. Il a ainsi profité d’une proximité de fait et de son ascendant sur l’enfant pour commettre sur elle des attouchements à caractère sexuel à plusieurs reprises entre mai et juillet 2021, période charnière de la vie de la jeune fille. Il a profité du rapport de confiance qu’il entretenait avec sa belle-fille, qui le considérait comme une seconde figure paternelle, dans le seul but d’assouvir ses pulsions sexuelles. Au cours de la procédure, il n’a cessé de répéter que M.P.________ lui faisait des avances et s’il a pleuré quand il a appris par la police qu’il était soupçonné, il n’a absolument pas pris conscience de la gravité de ses actes. Il a été mû par des pulsions sexuelles qu’il ne veut toujours pas reconnaître. A charge, il y a lieu de retenir le concours d’infractions. L’absence d’antécédents a un effet neutre sur la peine. L’appelant est reconnu coupable d’actes d’ordre sexuel avec des enfants, de contrainte sexuelle et de tentative de contrainte sexuelle. En l’espèce, quand bien même son casier judiciaire était vierge, une peine privative de liberté s’impose pour sanctionner les infractions retenues à son encontre pour des motifs de prévention spéciale, dans la mesure où il n’a aucunement pris conscience de la gravité de ses actes. Il y a donc concours au sens de l’art. 49 al. 1 CP.</w:t>
      </w:r>
    </w:p>
    <w:p>
      <w:r>
        <w:t>- 30 - Les actes d’ordre sexuel avec des enfants sont nombreux, étant rappelé que l’appelant a, à tout le moins à une occasion, ôté la culotte de l’enfant, introduit plusieurs doigts dans son vagin en les bougeant, lui a touché les seins, le sexe et les fesses, a mis son sexe contre son vagin, a frotté son sexe contre celui de l’enfant, a léché son sexe, lui a demandé de lécher son sexe et lui a appris à le masturber. Ces actes entrent en concours idéal avec l’infraction de contrainte sexuelle et justifient le prononcé d’une peine privative de liberté de trente-deux mois. Les effets du concours conduisent à l’augmentation de cette peine de quatre mois pour sanctionner la tentative de contrainte sexuelle. L’appelant doit donc être condamné à une peine privative de liberté de trente-six mois. Compte tenu de la quotité de la peine, il y a lieu d’examiner si les conditions d’un sursis partiel à l’exécution de celle-ci sont remplies. En l’espèce, les perspectives d’amendement de l’appelant sont mitigées. Certes, celui-ci n’a aucune inscription à son casier judiciaire et il n’a pas été qualifié de pédophile d’un point de vue psychiatrique. Toutefois, le déni de ses actes est total. Cela étant, compte tenu de l’absence de tout antécédent judiciaire, on peut admettre que l’exécution d’une part de peine ferme de douze mois aura un effet choc suffisant sur l’appelant pour permettre de lui octroyer un sursis pour les vingt-quatre mois restants. Le délai d’épreuve sera de trois ans. Au vu de ce qui précède, l’appelant doit être condamné à une peine privative de liberté de trente-six mois, dont douze mois fermes et vingt-quatre mois avec sursis pendant trois ans. L’appel du Ministère public doit donc être admis dans cette mesure.</w:t>
      </w:r>
    </w:p>
    <w:p>
      <w:r>
        <w:rPr>
          <w:b/>
        </w:rPr>
        <w:t>E. 6</w:t>
      </w:r>
    </w:p>
    <w:p>
      <w:r>
        <w:t>A.________, qui plaide son acquittement, conclut au rejet des prétentions de M.P.________ à titre de réparation du tort moral, au versement en sa faveur d’une indemnité de 5'000 fr. à titre de réparation morale et à la mise à la charge de l’Etat des frais de première instance.</w:t>
      </w:r>
    </w:p>
    <w:p>
      <w:r>
        <w:t>- 31 - Dès lors que sa condamnation pour l’ensemble des faits qui lui sont reprochés est confirmée, ces conclusions doivent être rejetées.</w:t>
      </w:r>
    </w:p>
    <w:p>
      <w:r>
        <w:rPr>
          <w:b/>
        </w:rPr>
        <w:t>E. 7</w:t>
      </w:r>
    </w:p>
    <w:p>
      <w:r>
        <w:t>En définitive, l’appel du Ministère public doit être partiellement admis et le jugement entrepris réformé dans le sens des considérants qui précèdent. L’appel d’A.________ doit pour sa part être rejeté et le jugement attaqué doit être confirmé pour le surplus.</w:t>
      </w:r>
    </w:p>
    <w:p>
      <w:r>
        <w:rPr>
          <w:b/>
        </w:rPr>
        <w:t>E. 7.1</w:t>
      </w:r>
    </w:p>
    <w:p>
      <w:r>
        <w:t>La liste des opérations produite par Me Gloria Capt, défenseur d’office d’A.________, fait état, hors audience d’appel, de 22.90 heures d’activité d’avocat, dont 0.40 heure consacrée à des opérations post- audience de première instance, 5.40 heures dévolues à la rédaction de la déclaration d’appel, 2.90 heures consacrées à l’étude du rapport d’expertise et 5.80 heures à la rédaction et à la refonte de la plaidoirie. La durée annoncée est excessive. Il y a en particulier lieu de retrancher les opérations post-audience de première instance, dont la durée a déjà été indemnisée en première instance, ainsi que le temps consacré à l’étude du rapport d’expertise, document dont le défenseur avait déjà une parfaite connaissance en première instance. Il convient en outre de ramener à 3.80 heures la durée dévolue à la rédaction et à la refonte de la plaidoirie, durée qui paraît suffisante au vu de la déclaration d’appel déjà motivée. Il y a par ailleurs lieu de tenir compte de la durée de l’audience d’appel et d’ajouter 1 h 45 à ce titre. Les débours seront indemnisés sur une base forfaitaire à concurrence de 2 % du montant des honoraires admis, conformément à l’art. 3bis RAJ (règlement sur l’assistance judiciaire en matière civile du 7 décembre 2010 ; BLV 211.02.3), applicable par renvoi de l’art. 26b TFIP (tarif des frais de procédure et indemnités en matière pénale du 28 septembre 2010 ; BLV 312.03.1). C’est ainsi une indemnité de 3’970 fr. 20 qui sera allouée à Me Gloria Capt pour les opérations effectuées dans le cadre de la procédure d’appel, correspondant à 19 h 21 d’activité d’avocat au tarif horaire de 180 fr., par 3’483 fr., à des débours forfaitaires à hauteur de 69 fr. 70, à une vacation, par 120 fr., et à la TVA au taux de 8,1 %, par 297 fr. 50.</w:t>
      </w:r>
    </w:p>
    <w:p>
      <w:r>
        <w:t>- 32 -</w:t>
      </w:r>
    </w:p>
    <w:p>
      <w:r>
        <w:rPr>
          <w:b/>
        </w:rPr>
        <w:t>E. 7.2</w:t>
      </w:r>
    </w:p>
    <w:p>
      <w:r>
        <w:t>Vu l'issue de la cause, les frais de la procédure d'appel, par 7'090 fr. 20, constitués de l'émolument du présent jugement, par 3’120 fr. (art. 21 al. 1 et 2 TFIP), ainsi que de l’indemnité allouée au défenseur d’office d’A.________, par 3’970 fr. 20, seront mis à la charge de l’appelant, qui succombe (art. 428 al. 1 CPP). A.________ sera tenu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