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PE21.014220 vom 10. Juli 2023</w:t>
      </w:r>
    </w:p>
    <w:p>
      <w:r>
        <w:t>VD Tribunal cantonal, 2023-07-10, FR</w:t>
      </w:r>
    </w:p>
    <w:p>
      <w:r>
        <w:rPr>
          <w:b/>
        </w:rPr>
        <w:t xml:space="preserve">Quelle: </w:t>
      </w:r>
      <w:r>
        <w:t>https://mcp.opencaselaw.ch/entscheid/vd_gerichte_PE21.014220</w:t>
      </w:r>
    </w:p>
    <w:p>
      <w:r>
        <w:t>FR: VD_GERICHTE PE21.014220 du 10 juillet 2023</w:t>
      </w:r>
    </w:p>
    <w:p>
      <w:r>
        <w:t>IT: VD_GERICHTE PE21.014220 del 10 luglio 2023</w:t>
      </w:r>
    </w:p>
    <w:p>
      <w:pPr>
        <w:pStyle w:val="Heading2"/>
      </w:pPr>
      <w:r>
        <w:t>Erwägungen</w:t>
      </w:r>
    </w:p>
    <w:p>
      <w:r>
        <w:rPr>
          <w:b/>
        </w:rPr>
        <w:t>E. 17</w:t>
      </w:r>
    </w:p>
    <w:p>
      <w:r>
        <w:t>juillet 2021, que son hospitalisation avait été motivée par un</w:t>
      </w:r>
    </w:p>
    <w:p>
      <w:r>
        <w:t>- 5 - comportement inhabituel avec somnolence et salivation importante, qu’à son arrivée, l’enfant présentait des signes évocateurs d’un syndrome anticholinergique et extrapyramidal (effets secondaires liés le plus souvent à une exposition aux médicaments neuroleptiques), que ce diagnostic syndromique avait été immédiatement partagé avec les parents du patient, sans pour autant être formel sur son origine, que ce syndrome n’engageait habituellement pas le pronostic fonctionnel et vital du patient et que les médicaments antidotes disponibles en routine (tropatépine, diazépam) agissaient uniquement sur la composante extra- pyramidale du syndrome. Il ressort également de ce rapport qu’B.R.________ présentait quatre lésions superficielles visibles sur son corps, soit deux contusions légères au niveau de la face dorsale des mains, une ecchymose au niveau de l’épaule et de la matière noirâtre de taille millimétrique sous l’ongle du pouce droit, que ces lésions avaient fait l’objet d’un constat séparé le 16 août 2021 par les médecins de l’HEL à la demande des parents du patient (P. 10/3), que ces lésions n’avaient pas mis gravement en danger la vie de l’enfant, qu’aucun risque de dommages permanents n’avait été mis en évidence et que les résultats des analyses sanguines de l’enfant, qui figuraient dans le rapport médical détaillé (P. 10/2), avaient mis en évidence des traces de rispéridone, un neuroleptique. f) Dans le cadre de ses investigations préliminaires, la police a procédé à l’audition de H.________ le 2 novembre 2021 (PV aud. 2). Celle-ci a déclaré en substance qu’elle était éducatrice spécialisée depuis environ 30 ans, qu’elle n’était pas la référente d’B.R.________, mais que cette charge était assurée ce jour-là par D.________, que cet enfant était imprévisible et devait être surveillé, que les enfants n’étaient jamais seuls, que le 17 juillet 2021, entre 09h30 et 10h00, l’enfant avait eu beaucoup de selles de manière inhabituelle et qu’elle avait constaté, avec D.________, qu’B.R.________ avait montré des signes importants de fatigue vers 11h00. H.________ a par ailleurs expliqué qu’elle était certaine qu’aucun médicament ne trainait, que seules les personnes responsables pouvaient en administrer ou les donner aux enfants, qu’il y avait un protocole très strict, qu’aucun médicament ne pouvait être pris sans un</w:t>
      </w:r>
    </w:p>
    <w:p>
      <w:r>
        <w:t>- 6 - double contrôle, que les médicaments se trouvaient dans un local fermé, dont seuls les éducateurs possèdent les clefs, que le Risperdal était sous la forme liquide, avec un bouchon de sécurité, que, le 17 juillet 2021, seul un enfant du groupe avait pris un médicament, qu’il s’agissait d’un médi- cament contre l’épilepsie et que son administration avait eu lieu avant 07h30, soit avant l’arrivée d’B.R.________ vers 8h00. Educateur spécialisé en charge d’B.R.________ le 17 juillet 2021, D.________ a été auditionné par la police le 12 novembre 2021 (PV audi. 3). A cette occasion, celui-ci a confirmé que le jour des faits, il était référent pour la première fois de cet enfant, arrivé vers 08h00, qu’il avait constaté qu’il avait des selles abondantes ainsi qu’une grande fatigue dans la matinée, que cela lui avait semblé anormal, raison pour laquelle il en avait parlé à des collègues, qu’il ne s’était pas approché de la boîte à médicaments le jour en question, dès lors qu’aucun des deux enfants dont il avait alors la charge ne prenait de traitement et que les enfants ne pouvaient pas accéder seuls à l’armoire à médicaments. D.________ a observé qu’il n’était pas exclu qu’B.R.________ ait trouvé ou ramassé un médicament, mais qu’il ne l’avait pas vu faire, rappelant qu’il avait deux enfants sous sa responsabilité ce jour-là et qu’il ne pouvait pas assurer une surveillance visuelle de tout instant pour chacun, que, à la suite de cette affaire, les langues s’étaient déliées et qu’il avait entendu dire qu’il était arrivé que des médicaments oubliés ou perdus se retrouvent dans l’unité et, par conséquent, accessibles par tous, sans toutefois pouvoir le confirmer puisqu’il ne l’avait jamais personnellement constaté. S’agissant plus spécifiquement de la rispéridone, cet éducateur a indiqué qu’il ne savait pas de quel type de médicament il s'agissait, qu’il ignorait s'il y en avait ou non dans l'armoire à médicaments et qu’il ne comprenait absolument pas pourquoi ni comment cela avait pu se produire. Le 16 novembre 2021, la police a procédé à l’audition de L.________, responsable ad interim de la structure de l’UAT A.________ à l’époque des faits et éducatrice spécialisée (PV aud. 4). L.________ a confirmé qu’elle avait été contactée par le CHUV le 19 juillet 2021, afin d’obtenir des informations sur le contenu de l’armoire à médicaments,</w:t>
      </w:r>
    </w:p>
    <w:p>
      <w:r>
        <w:t>- 7 - que, lors de cet appel téléphonique, elle avait listé l’intégralité des médicaments présents, dont le Risperdal, que le 17 juillet 2021, elle était sûre à 100% qu’aucun enfant n’avait reçu ce médicament, les deux seuls enfants de l’UAT en prenant n’étant alors pas présents, que chaque enfant disposait de sa boîte sur laquelle était inscrit son prénom et que le Risperdal se trouvait sous forme liquide et était administré au moyen d’une seringue directement dans la bouche de l’enfant. L.________ a également donné des informations sur la structure et les protocoles précis mis en place et appliqués lors de l’administration de médicaments aux enfants, détaillant le double contrôle systématique tant du médicament que de son dosage, avec signature du référent et d’un autre éducateur sur la fiche idoine. Questionnée au sujet de D.________, cette éducatrice a déclaré que tout se passait bien avec cet intérimaire, que le 17 juillet 2021, il s’était s’occupé d’B.R.________ pour la première fois et qu’il avait accès à l'armoire à médicaments, mais qu’il n'aurait pas pu donner un médicament non prescrit. Elle a conclu son audition par les propos suivants : « J’ignore comment cela a pu se produire. Je pense toutefois qu’il est impensable qu’un soignant ait donné intentionnellement de cette substance pour calmer B.R.________. Il n’est pas envisageable qu’une seringue avec du médicament se trouve à portée d’un enfant mais le risque zéro n’existe pas. ». g) Le 16 novembre 2021, le directeur de l’[...], dont fait partie l’UAT A.________, a transmis à la police un lot de documents contenant notamment le plan des interventions de D.________, le planning de confirmation de [...], le planning de travail de l’UAT de chaque semaine du mois de juillet 2021, le plan de présence des enfants à l’UAT durant la semaine du 13 au</w:t>
      </w:r>
    </w:p>
    <w:p>
      <w:r>
        <w:rPr>
          <w:b/>
        </w:rPr>
        <w:t>E. 19</w:t>
      </w:r>
    </w:p>
    <w:p>
      <w:r>
        <w:t>mai 2009 ; BLV 312.01] ; art. 80 LOJV [Loi d’organisation judiciaire du 12 décembre 1979 ; BLV 173.01]). 1.2 En l’espèce, interjeté en temps utile devant l’autorité compétente, par les parties plaignantes qui ont qualité pour recourir (art. 382 al. 1 CPP) et dans les formes prescrites (art. 385 al. 1 CPP), le recours de A.R.________ et G.________, qui agissent au nom de leur fils mineur B.R.________ (art. 106 al. 2 CPP), est recevable. 2.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86 consid. 2.3.3 ; Grodecki/Cornu, in : Jeanneret/Kuhn/Perrier Depeursinge [éd.],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w:t>
      </w:r>
    </w:p>
    <w:p>
      <w:r>
        <w:t>- 12 - 2021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réf. cit. ; ATF 137 IV 285 consid. 2.3 et réf. cit.,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(CREP 28 juin 2023/466 ; TF 6B_541/2017 du 20 décembre 2017 consid. 2.2). 3. 3.1 Invoquant le principe in dubio pro duriore, les recourants reprochent au Ministère public de ne pas avoir ouvert d’instruction pénale et de ne pas avoir procédé aux auditions et aux confrontations de J.________, conseillère en personnel auprès de l’entreprise [...], de la Dre</w:t>
      </w:r>
    </w:p>
    <w:p>
      <w:r>
        <w:t>- 13 - V.________, de L.________ et de D.________, afin de déterminer qui avait donné du Risperdal à leur fils, de ne pas avoir mis en œuvre une expertise pour déterminer quelle dose de Risperdal avait été administrée à leur fils et de ne pas avoir investigué les quatre lésions physiques que leur fils présentait le 17 juillet 2021. Ils font valoir qu’B.R.________ aurait ingéré du Risperdal à l’UAT A.________ le 17 juillet 2021 alors que ce médicament ne lui était pas prescrit, que ce médicament, tenu sous clé, aurait été administré par un éducateur, qu’il s’agirait de D.________ ou de H.________, et que leur fils aurait été victime de lésions corporelles simples, voire d’une tentative de lésions corporelles graves, la dose administrée étant manifestement beaucoup plus élevée qu’une dose thérapeutique au vu de son état de santé. Les recourants soutiennent également que les éducateurs spécialisés de l’UAT A.________ ont une position de garants quant aux enfants dont ils s’occupent, qu’ils ont violé leur devoir d’assistance envers leur fils, qu’ils n’ont en particulier pris aucune mesure concrète malgré l’état de santé préoccupant d’B.R.________ et que l’infraction de l’art. 219 al. 1 CP (Code pénal suisse du 21 décembre 1937 ; RS 311.0) est également réalisée. 3.2 3.2.1 Selon l’art. 123 ch. 1 CP,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Elle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réf. cit. ; TF 6B_218/2019 du 27</w:t>
      </w:r>
    </w:p>
    <w:p>
      <w:r>
        <w:t>- 14 - juin 2019 consid. 1.1.1). Peuvent en outre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notamment (Dupuis et al. [éd.], Petit commentaire du Code pénal, 2e éd., 2017, n. 10 ad art. 123 CP). 3.2.2 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w:t>
      </w:r>
    </w:p>
    <w:p>
      <w:r>
        <w:t>- 15 - consid. 2.3.1 ; TF 6B_378/2022 du 3 mai 2022 consid. 2.2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réf. cit.).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réf. cit.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consid. 2.1 ; ATF 135 IV 56 consid. 2.1 ; ATF 134 IV 255 consid. 4.2.3 et les arrêts cités). 3.2.3 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Cette disposition protège le développement physique et psychique du mineur, à savoir d'une personne âgée de moins de 18 ans (ATF 126 IV 136 consid. 1b p. 138 ; ATF 125 IV 64 consid. 1 p. 68). Pour que l'art. 219 CP soit applicable, il faut que l'auteur ait violé son devoir d'assistance ou d'éducation ou qu'il ait manqué à ce devoir. Le comportement délictueux</w:t>
      </w:r>
    </w:p>
    <w:p>
      <w:r>
        <w:t>- 16 -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(ATF 126 IV 136 consid. 1b ; TF 6B_1220/2020 du 1er juillet 2021 consid. 1.2).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 TF 6B_138/2021 du 23 septembre 2021 consid. 4.1.2 ; TF 6B_1220/2020 précité consid. 1.2). 3.3 3.3.1 En l’espèce, il ne fait aucun doute que le jeune B.R.________ a subi des lésions corporelles. Avec la procureure, la Chambre de céans considère qu’il s’agit, malgré les trois jours d’hospitalisation de l’enfant à l’HEL et les différents examens médicaux nécessités par l’état de santé d’B.R.________, de lésions corporelles simples au sens des art. 123 ch. 1 et 125 al. 1 CP. En effet, selon le rapport d’hospitalisation (P. 10/2) et les rapports médicaux du Dr I.________ qui a pris en charge l’enfant à l’HEL (P. 10/1, P. 19/2), la vie d’B.R.________ n’a pas été mise en danger, le syndrome extrapyramidal qu’il présentait le 17 juillet 2021 à son arrivée aux urgences a rapidement évolué favorablement, son pronostic fonctionnel et vital n’a pas été engagé à la suite de son exposition à des neuroleptiques, aucun risque d’atteinte permanente n’a été décelé et l’atteinte à la santé subie par l’enfant ne lui a laissé aucune séquelle. Le taux de rispéridone et de ses métabolites décelé dans le sang prélevé le 19 juillet 2021 sur B.R.________ était dix fois inférieur au seuil toxique (P. 19/2). Les recourants soutiennent que la dose administrée</w:t>
      </w:r>
    </w:p>
    <w:p>
      <w:r>
        <w:t>- 17 - à leur fils serait manifestement beaucoup plus élevée qu’une dose thérapeutique. La mise en œuvre d’une expertise, telle que requise par les recourants, pour déterminer la dose de rispéridone ingérée par l’enfant, apparaît inutile, puisque le sang prélevé sur l’enfant à son arrivée aux urgences n’est plus disponible (P. 10/2) et que le Dr I.________ a, dans son rapport complémentaire du 3 mars 2022 (P. 19/2), expliqué que le taux de positivité de la risperidone dans le sang de l’enfant attestait d’une exposition à cette substance dans les 48 à 72 heures précédentes, que la demi-vie d’élimination de la rispéridone dans le sang était de 24 heures, soit que la moitié du médicament était éliminée en 24 heures, et qu’il y avait donc encore du médicament dans le sang de l’enfant après 48 heures, à une dose infime. Le Dr I.________ a par ailleurs réitéré dans son rapport complémentaire ne pas avoir eu d’inquiétude pour la vie de l’enfant durant ses trois jours d’hospitalisation à l’HEL. Lors de l’examen clinique d’B.R.________ le 22 juillet 2021, le Dr F.________, pédiatre traitant de l’enfant, a constaté la résolution des symptômes et des signes cliniques dus à son exposition à des neuroleptiques, son statut clinique ne montrant rien de particulier (P. 15). Quant aux quatre lésions visibles sur le corps de l’enfant – deux contusions légères sur les faces dorsales des mains, une ecchymose au niveau de l’épaule et de la matière noirâtre de taille millimétrique sous l’ongle du pouce droit –, elles étaient superficielles et n’ont pas porté atteinte à la santé de l’enfant. Il n’apparaît en outre pas nécessaire de procéder aux investigations supplémentaires requises par les recourants s’agissant de ces lésions, celles-ci étant légères et présentes chez la plupart des enfants. Au vu de la jurisprudence du Tribunal fédéral précitée, les atteintes à la santé subies par B.R.________, dont l’existence est avérée, ne peuvent être qualifiées de graves et aucune mesure d’instruction n’est susceptible de conduire à une qualification différente de ces atteintes, celles-ci ayant déjà été évaluées et discutées par les médecins de l’HEL qui ont pris l’enfant en charge aux urgences et par son pédiatre traitant.</w:t>
      </w:r>
    </w:p>
    <w:p>
      <w:r>
        <w:t>- 18 - 3.3.2 Il résulte de l’examen du dossier que les investigations préliminaires entreprises n’ont pas permis de déterminer dans quelles circonstances, où et quand précisément B.R.________ avait ingéré du Risperdal, si l’absorption de ce médicament par le fils des plaignants était le résultat d’une négligence, voire d’un acte intentionnel, et qui en était, le cas échéant, l’auteur potentiel. D’emblée, il convient de constater que, faute de mise en danger concrète de l'intégrité corporelle ou psychique du mineur (cf. consid. 3.3.1), les faits dénoncés ne peuvent être constitutifs d’une violation du devoir d’assistance ou d’éducation au sens de l’art. 219 CP. Il n’a pas été possible de dater avec exactitude la prise de ce neuroleptique par l’enfant. Selon le Dr I.________, au vu du taux de rispéridone présent dans le sang au moment de l’analyse effectuée le 19 juillet 2021, l’ingestion du Risperdal par B.R.________ a pu avoir lieu dans les 48 à 72 heures précédentes, soit entre le 16 et le 17 juillet 2021 (P. 19/2). Ensuite, l’enquête de police a montré que les médicaments destinés aux patients étaient conservés à l’UAT dans une armoire à médicaments – chaque enfant disposant de sa boîte personnelle – entreposée dans un local fermé dont seuls les éducateurs possédaient la clé et que le Risperdal administré à l’UAT était sous forme liquide (P. 11/1, PV aud. 2, PV aud. 4), ce que D.________ ne savait manifestement pas puisqu’il a évoqué la possibilité que l’enfant ait pu ingérer un comprimé de ce médicament qu’il aurait retrouvé par erreur (PV aud. 3). Par ailleurs, l’administration du Risperdal sous forme liquide se fait directement dans la bouche de l’enfant à l’aide d’une seringue. Il faudrait donc qu’une seringue pleine ait traîné et qu’B.R.________ s’en soit emparé, ce qui paraît hautement improbable, d’autant que ce médicament n’a été administré à aucun enfant le 17 juillet 2021. L’hypothèse d’une administration du calmant « pour que l’enfant se tienne tranquille » n’est pas non plus réaliste, dès lors que D.________ était le seul à s’occuper d’B.R.________ ce jour-là, qu’il s’agissait de la première fois et qu’aucun médicament ne pouvait être pris sans un double contrôle du médicament et de son dosage, avec la signature d’un autre éducateur sur une fiche idoine (PV aud. 2, PV aud. 4). Il ressort en outre des déclarations des éducateurs</w:t>
      </w:r>
    </w:p>
    <w:p>
      <w:r>
        <w:t>- 19 - entendus par la police et des fiches individuelles de médication des enfants présents à l’UAT aux côtés du fils des recourants qu’aucun médicament n’a été administré à B.R.________ le 17 juillet 2021 et que les médicaments donnés aux deux enfants de son groupe, qui ne contenaient pas de rispéridone et de ses métabolites, ont été administrés avant l’arrivée d’B.R.________. Quant aux résidus noirs retrouvés sur les joues et les incisives d’B.R.________, ils provenaient très certainement du canapé en cuir noir sur lequel l’enfant s’était endormi et avait beaucoup bavé, lequel avait probablement déteint. A l’issue des investigations préliminaires, le Ministère public était ainsi fondé à rendre une ordonnance de non-entrée en matière, aucun indice permettant d’incriminer l’un des éducateurs de l’UAT A.________ et de confirmer les soupçons des plaignants portés à l’encontre de D.________ et de H.________ n’ayant été rendu vraisemblable. Contrairement à ce que soutiennent les recourants, aucun des actes d’instruction qu’ils suggèrent permettrait de faire progresser l’enquête, d’identifier un potentiel responsable et d’établir la culpabilité de celui-ci. L’audition de J.________, conseillère en personnel auprès de [...] qui a envoyé D.________ en mission à l’UAT A.________ mais qui n’y travaille pas, n’est pas susceptible d’apporter un éclairage différent sur les constatations qui précèdent, d’autant que les notes qu’elle a remises à la police sont trop imprécises et confuses, et qu’elle y mélange plusieurs événements (P. 11/3). L’audition de la Dre V.________, cheffe de clinique auprès de l’HEL ayant signé le rapport d’hospitalisation du 12 août 2021 (P. 10/2) avec le Dr I.________, ne permettrait pas d’apporter des éléments de preuve de la commission d’une infraction par une personne déterminée, de sorte qu’elle n’apparait pas non plus nécessaire. Quant aux confrontations sollicitées en lien avec les prétendues contradictions relevées par les recourants dans les auditions des personnes concernées entendues par la police, il s’avère, à la lecture du dossier, qu’elles n’en sont pas. Tel est le cas en particulier du fait que D.________ se serait trompé d’enfant en ramenant B.R.________ à sa mère, puisque, comme cela ressort des plans des présences des enfants, D.________ n’était pas</w:t>
      </w:r>
    </w:p>
    <w:p>
      <w:r>
        <w:t>- 20 - présent à l’UAT le 15 juillet 2021 et il s’agissait d’un autre éducateur (P. 11/4). Il en va de même du fait, allégué par les recourants, qu’un autre enfant présent le 17 juillet 2021 aurait reçu du Risperdal, puisque les déclarations de l’éducatrice L.________ sur ce point (PV aud. 4) sont corro- borées par les pièces au dossier (P. 11/4) dont il ressort qu’aucun des enfants du groupe d’B.R.________ ne bénéficiait d’un traitement médicamenteux comprenant de la rispéridone et ses métabolites (P. 11/4). C’est donc à juste titre que le Ministère public n’est pas entré en matière sur la plainte d’G.________ et de A.R.________, les conditions de l’art. 310 al. 1 let. a CPP étant réalisées. 4. Il résulte de ce qui précède que le recours interjeté par A.R.________ et G.________, manifestement mal fondé, doit être rejeté sans échange d’écritures (art. 390 al. 2 CPP) et l’ordonnance contestée confirmée. Les frais de la procédure de recours, constitués en l’espèce du seul émolument d’arrêt (art. 422 al. 1 CPP), par 1'980 fr. (art. 20 al. 1 TFIP [Tarif des frais de procédure et indemnités en matière pénale du 28 septembre 2010 ; BLV 312.03.1]), seront mis à la charge des recourants, qui succombent (art. 428 al. 1, 1re phr., CPP), solidairement entre eux. Par ces motifs, la Chambre des recours pénale prononce : I. Le recours est rejeté. II. L’ordonnance du 4 avril 2023 est confirmée. III. Les frais d’arrêt, par 1'980 fr. (mille neuf cent huitante francs), sont mis à la charge d’G.________ et de A.R.________,</w:t>
      </w:r>
    </w:p>
    <w:p>
      <w:r>
        <w:t>- 21 - solidairement entre eux. IV. L’arrêt est exécutoire. La présidente : La greffière : Du Le présent arrêt, dont la rédaction a été approuvée à huis clos, est notifié, par l'envoi d'une copie complète, à : - M. Samir Djaziri, avocat (pour G.________ et A.R.________),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