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PE21.014087 vom 13. Oktober 2021</w:t>
      </w:r>
    </w:p>
    <w:p>
      <w:r>
        <w:t>VD Tribunal cantonal, 2021-10-13, FR</w:t>
      </w:r>
    </w:p>
    <w:p>
      <w:r>
        <w:rPr>
          <w:b/>
        </w:rPr>
        <w:t xml:space="preserve">Quelle: </w:t>
      </w:r>
      <w:r>
        <w:t>https://mcp.opencaselaw.ch/entscheid/vd_gerichte_PE21.014087</w:t>
      </w:r>
    </w:p>
    <w:p>
      <w:r>
        <w:t>FR: VD_GERICHTE PE21.014087 du 13 octobre 2021</w:t>
      </w:r>
    </w:p>
    <w:p>
      <w:r>
        <w:t>IT: VD_GERICHTE PE21.014087 del 13 ottobre 2021</w:t>
      </w:r>
    </w:p>
    <w:p>
      <w:pPr>
        <w:pStyle w:val="Heading2"/>
      </w:pPr>
      <w:r>
        <w:t>Erwägungen</w:t>
      </w:r>
    </w:p>
    <w:p>
      <w:r>
        <w:rPr>
          <w:b/>
        </w:rPr>
        <w:t>E. 1</w:t>
      </w:r>
    </w:p>
    <w:p>
      <w:r>
        <w:t>CP celui qui, en vertu de la loi, d’un mandat officiel ou d’un acte</w:t>
      </w:r>
    </w:p>
    <w:p>
      <w:r>
        <w:t>- 8 - juridique, est tenu de gérer les intérêts pécuniaires d’autrui ou de veiller sur leur gestion et qui, en violation de ses devoirs, aura porté atteinte à ces intérêts ou aura permis qu’ils soient lésés. Se rendent coupable d’abus d’autorité au sens de l’art. 312 CP les membres d’une autorité et les fonctionnaires qui, dans le dessein de se procurer ou de procurer à un tiers un avantage illicite, ou dans le dessein de nuire à autrui, auront abusé des pouvoirs de leur charge. 4.3 En l’espèce, il convient tout d’abord de relever que la Cour de céans n’a pas à examiner si la répartition des frais de lunettes sur les différents comptes du recourant est conforme aux dispositions légales, puisque ce point litigieux a fait l’objet d’une plainte administrative. S’agissant de l’imputation du montant de 421 fr. 45 sur le compte « Réservé » à titre de « Frais médicaux », on observe par ailleurs que le recourant a déposé plainte à ce sujet le 18 août 2021, soit sans attendre que l’autorité administrative réponde à sa demande de renseignements complémentaires du 12 août 2021 (P. 7/2). Comme retenu par le Procureur, on ne peut que constater que les éléments constitutifs des infractions reprochées ne sont manifestement pas réunis, notamment pour les motifs qui suivent : - exposition : dès lors que l’achat d’une paire de lunettes de lecture n’a jamais été refusée au recourant, les personnes incriminées n’ont pas intentionnellement exposé celui-ci à un danger de mort ou un danger grave et imminent pour sa santé ou abandonné face à un tel danger, même par dol éventuel (TF 6B_143/2020 du 1er avril 2020 consid. 3.1 ; TF 6B_565/2019 du 12 juin 2019 consid. 4.2 et la référence) ; - appropriation illégitime : il n’existe aucun élément permettant de soupçonner qu’un des auteurs supposés aurait incorporé les valeurs concernées à son propre patrimoine, pour la conserver, la consommer ou pour l'aliéner (ATF 129 IV 223 consid. 6.2.1, JdT 2005 IV 3 ;</w:t>
      </w:r>
    </w:p>
    <w:p>
      <w:r>
        <w:t>- 9 - ATF 121 IV 23 consid. 1c, JdT 1996 IV 166 ; ATF 118 IV 148 consid. 2a, JdT 1994 IV 105) ; - vol, vol par métier ou vol en bande : il n’y a pas eu soustraction d’une chose mobilière, c’est-à-dire rupture de la possession d’autrui et création d’une nouvelle possession, en général en faveur de l’auteur lui-même (ATF 132 IV 108 consid. 2.1) ; - escroquerie : il n’y a aucune tromperie, a fortiori astucieuse ; il y a donc encore moins de tromperie ayant amené la dupe, dans l'erreur, à accomplir un acte préjudiciable à ses intérêts pécuniaires ou à ceux d'un tiers (ATF 128 IV 255 consid. 2e/aa) ; - gestion déloyale : les personnes incriminées ne revêtent pas la qualité de gérant, soit une personne à qui incombe, de fait ou formellement, la responsabilité d'administrer un complexe patrimonial non négligeable dans l'intérêt d'autrui (ATF 129 IV 124 consid. 3.1, JdT 2005 IV 112 ; ATF 123 IV 17 consid. 3b) et qui suppose un degré d'indépendance suffisant et un pouvoir de disposition autonome sur les biens administrés (ATF 123 IV 17 consid. 3b) ; - abus d’autorité : les auteurs présumés, en vertu de leur tâche officielle, n’ont pas décidé ou usé de contrainte dans un cas où il ne leur était pas permis de le faire (ATF 127 IV 209 consid. 1a/aa) ; ils n’ont pas non plus recouru à des moyens disproportionnés pour poursuivre un but légitime (ATF 127 IV 209 consid. 1a/aa et b ; ATF 113 IV 29 consid. 1 ; ATF 104 IV 22 consid. 2). Au vu de ce qui précède, c’est à bon droit que le Ministère public n’est pas entré en matière sur les plaintes pénales déposées. Dan ces conditions, la grief du recourant selon lequel le procureur n’avait procédé à aucune investigation doit être écarté, la reddition d’une ordonnance de non-entrée en matière étant possible sans aucune investigation policière ni interpellation des personnes concernées.</w:t>
      </w:r>
    </w:p>
    <w:p>
      <w:r>
        <w:t>- 10 -</w:t>
      </w:r>
    </w:p>
    <w:p>
      <w:r>
        <w:rPr>
          <w:b/>
        </w:rPr>
        <w:t>E. 5</w:t>
      </w:r>
    </w:p>
    <w:p>
      <w:r>
        <w:t>Enfin, le recourant reproche au Ministère public d’avoir précisé, à la fin de sa décision, que la plainte était abusive, d’une part, et qu’il se réservait d’ouvrir une enquête pour dénonciation calomnieuse à son encontre, d’autre part. Il voit dans cette remarque une tentative d’intimidation dans le but de le faire taire. Ce faisant, le recourant n’expose pas en quoi cet argument serait pertinent dans le cadre du recours contre l’ordonnance de non- entrée en matière. En particulier, le recourant ne conteste pas la mise à sa charge des frais de procédure en application de l’art. 420 CPP. Il ne requiert pas non plus la récusation dudit procureur. Ce moyen doit donc être écarté.</w:t>
      </w:r>
    </w:p>
    <w:p>
      <w:r>
        <w:rPr>
          <w:b/>
        </w:rPr>
        <w:t>E. 6</w:t>
      </w:r>
    </w:p>
    <w:p>
      <w:r>
        <w:t>Il s’ensuit que le recours, manifestement mal fondé dans la mesure où il est recevable, doit être rejeté sans échange d'écritures (art. 390 al. 2 CPP) et l'ordonnance entreprise confirmée. Les frais de la procédure de recours,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26 août 2021 est confirmée. III. Les frais d’arrêt, par 990 fr. (neuf cent nonante francs), sont mis à la charge de X.________. IV. L’arrêt est exécutoire. La vice-présidente : La greffière :</w:t>
      </w:r>
    </w:p>
    <w:p>
      <w:r>
        <w:t>- 11 - Du Le présent arrêt, dont la rédaction a été approuvée à huis clos, est notifié, par l'envoi d'une copie complète, à : - M. X.________,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