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PE21.013544 vom 28. November 2024</w:t>
      </w:r>
    </w:p>
    <w:p>
      <w:r>
        <w:t>VD Tribunal cantonal, 2024-11-28, FR</w:t>
      </w:r>
    </w:p>
    <w:p>
      <w:r>
        <w:rPr>
          <w:b/>
        </w:rPr>
        <w:t xml:space="preserve">Quelle: </w:t>
      </w:r>
      <w:r>
        <w:t>https://mcp.opencaselaw.ch/entscheid/vd_gerichte_PE21.013544</w:t>
      </w:r>
    </w:p>
    <w:p>
      <w:r>
        <w:t>FR: VD_GERICHTE PE21.013544 du 28 novembre 2024</w:t>
      </w:r>
    </w:p>
    <w:p>
      <w:r>
        <w:t>IT: VD_GERICHTE PE21.013544 del 28 novembre 2024</w:t>
      </w:r>
    </w:p>
    <w:p>
      <w:pPr>
        <w:pStyle w:val="Heading2"/>
      </w:pPr>
      <w:r>
        <w:t>Erwägungen</w:t>
      </w:r>
    </w:p>
    <w:p>
      <w:r>
        <w:rPr>
          <w:b/>
        </w:rPr>
        <w:t>E. 21</w:t>
      </w:r>
    </w:p>
    <w:p>
      <w:r>
        <w:t>novembre suivant, Y.________, agissant seul, a recouru contre ce</w:t>
      </w:r>
    </w:p>
    <w:p>
      <w:r>
        <w:t>- 5 - prononcé en concluant implicitement à sa réforme, en ce sens qu’un avocat d’office lui soit désigné en la personne de Me Michaël Geiger. Il n’a pas été ordonné d’échange d’écritures. En d roit : 1. 1.1 Aux termes de l’art. 393 al. 1 let. b CPP,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déposé en temps utile auprès de l’autorité compétente par le prévenu qui a qualité pour recourir (art. 382 al. 1 CPP)</w:t>
      </w:r>
    </w:p>
    <w:p>
      <w:r>
        <w:t>- 6 - et satisfaisant aux exigences de forme prescrites (art. 385 al. 1 CPP), le recours est recevable. 2. 2.1 Le recourant conteste que la cause soit de peu de gravité. Il invoque que la peine qui lui a été infligée suffirait à lui rendre impossible toute gouvernance de société et tout mandat judiciaire ou économique en Suisse, alors qu’il entend s’y installer définitivement, étant au bénéfice d’un permis B depuis 2020. Il fait valoir que s’il le souhaitait, il ne pourrait pas non plus s’inscrire comme avocat, profession qu’il a exercée pendant vingt ans. Il répète qu’il n’a pas commis d’abus de confiance puisqu’il n’aurait pas pu quitter le Luxembourg pendant trois mois et qu’il avait une relation de confiance avec le gérant de G.________, lui ayant loué à de nombreuses reprises des véhicules sans le moindre problème. S’agissant de la condition de la nécessité d’une défense d’office, il expose que « il est évident que compte tenu de [s]a formation et de l’exercice de la profession d’avocat pendant 20 ans, [il a] la capacité de [s]e défendre » mais soutient cependant que, compte tenu de sa détention actuelle, il ne serait pas en mesure de préparer sa défense, de récolter les pièces nécessaires, et a fortiori de se présenter à l’audience. Il prétend encore qu’il n’aurait plus de revenus depuis cinq ans, qu’il aurait dû payer des honoraires pour sa défense dans le cadre de la procédure d’extradition, qu’il devrait d’ailleurs encore des honoraires à cet avocat et qu’il ne saurait « faire face à des frais supplémentaires en l’état ». 2.2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w:t>
      </w:r>
    </w:p>
    <w:p>
      <w:r>
        <w:t>- 7 -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2024 consid. 2.2 ; TF 1B_510/2022 du 16 décembre 2022 consid. 3.1 ; TF 1B_370/2022 du 1er décembre 2022 consid. 2.1.2 ; TF 1B_483/2022 du 28 septembre 2022 consid. 3).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7B_839/2023 précité consid. 2.2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7B_839/2023 précité consid. 2.2 ; TF 7B_124/2023 du 25 juillet 2023 consid. 2.1.1).</w:t>
      </w:r>
    </w:p>
    <w:p>
      <w:r>
        <w:t>- 8 -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2.2 ; TF 7B_611/2023 du 20 décembre 2023 consid. 3.2.1 ; TF 7B_124/2023 précité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ATF 139 III 396 consid. 1.2 ; TF 7B_839/2023 précité consid. 2.3 ; TF 7B_611/2023 précité consid. 3.2.1).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précité consid. 3.2.1 ; TF 7B_124/2023 précité consid. 2.1.2). 2.3 En l’espèce, il faut tout d’abord constater que le recourant a été interpellé en Suisse alors qu’il circulait en tant que passager dans un véhicule immatriculé en France. Les indications au dossier concernant son statut de séjour en Suisse sont incohérentes, puisque sur son audition en tant que prévenu (PV aud. 2), il est indiqué que le prévenu n’aurait en Suisse que le statut de touriste, mais les différentes décisions rendues en cours de procédure font mention d’une autorisation de séjour de type B, au même titre que l’extrait de son casier judiciaire. Quoi qu’il en soit, le recourant a mandaté un défenseur de choix dans le cadre de la procédure</w:t>
      </w:r>
    </w:p>
    <w:p>
      <w:r>
        <w:t>- 9 - extraditionnelle, ce qui sous-entend qu’il avait les moyens de le rémunérer. S’il soutient maintenant qu’il ne disposerait plus de tels moyens, il ne fournit dans son recours absolument aucune précision quant à sa domiciliation, sa fortune ou ses revenus. Lors de son audition par le Ministère public, il a déclaré habiter en France, chez son père, et être « consultant pour des personnes saoudiennes », s’occupant de leur fortune et de leur trouver une maison, mais étant seulement défrayé et n’ayant aucun revenu dans ce cadre. Il a également affirmé être en conflit depuis 10 ans avec le fisc luxembourgeois et avoir des parts dans la Société civile immobilière familiale, laquelle serait propriétaire d’un château (PV aud. 2, ll. 122 à 131). Il ressort du rapport d’investigation établi le 23 juillet 2021 dans le cadre de la plainte déposée contre lui par G.________ (P. 4) qu’en lien avec son permis B, le prévenu aurait déclaré une activité au sein de M.________ AG à Zurich depuis le 26 février 2021, mais au contrôle des habitants de la commune de Lausanne, il aurait déclaré être actif au sein de F.________ AG depuis le 1er août 2020. Or, contactées par la police, ces sociétés ont indiqué qu’elles ne connaissaient pas le recourant. Toujours selon ce rapport, il aurait sous-loué, à Lausanne, un appartement à la société [...] SA dont il ne se serait pas acquitté des loyers et qu’il aurait quitté en avril 2021. Cette société aurait reçu postérieurement un message de la part du prévenu disant qu’il ne se trouvait plus en Suisse et qu’il ne pouvait plus y revenir en l’état. Compte tenu de ce qui précède, on retiendra que le recourant a pu rémunérer un avocat de choix dans le cadre de la procédure extraditionnelle menée en parallèle et qu’il a admis avoir des parts dans une société civile immobilière française, éléments qui sont de nature à infirmer l’assertion selon laquelle il serait dans une situation d’indigence. Dans la mesure où il ne fournit en recours aucun élément susceptible d’éclairer sa situation financière, il y a lieu de considérer que la condition de l’indigence n’est pas suffisamment rendue vraisemblable, de sorte que son recours doit être rejeté pour ce motif déjà, les conditions posées à l’art. 132 al. 1 let. b CPP étant cumulatives. En outre et quoi qu’il en soit, au vu de la peine pécuniaire de 90 jours-amende avec sursis infligée dans l’ordonnance pénale, et comme</w:t>
      </w:r>
    </w:p>
    <w:p>
      <w:r>
        <w:t>- 10 - relevé par la première juge, l’affaire est de peu de gravité, n’atteignant pas la limite des 120 jours-amende fixée par l’art. 132 al. 3 CPP. C’est en vain que le recourant invoque les conséquences qu’une inscription au casier judiciaire suisse pourrait avoir sur son avenir professionnel dans ce pays : d’abord, il apparaît que le recourant ne réside plus en Suisse depuis le mois d’avril 2021, qu’il était domicilié chez son père, en France, à la date de son interpellation et qu’il a été incarcéré en Suisse pendant au moins cinq mois en vue de sa – récente – extradition vers le Luxembourg. Dans ces conditions, il n’est pas vraisemblable qu’il envisage sérieusement de s’établir en Suisse en vue d’y exercer prochainement une activité professionnelle, notamment d’avocat, respectivement qu’il puisse obtenir une prolongation de son autorisation de séjour, si tant est qu’il soit au bénéfice d’un tel permis. En outre, le recourant admet qu’il a les capacités de se défendre lui-même, au vu de sa formation et du fait qu’il a exercé pendant 20 ans la profession d’avocat. Du reste, il a été en mesure d’invoquer des moyens de défense, en particulier le fait qu’il aurait été détenu au Luxembourg à la date à laquelle le véhicule litigieux aurait dû être restitué, moyen qu’il a proposé du reste d’établir. Il ressort en outre de ses écrits et de son audition que le recourant maîtrise parfaitement le français et qu’il est apte à développer un raisonnement en relation avec les faits qui lui sont reprochés. Comme l’a relevé la première juge, le fait que le recourant ait été détenu en voie d’extradition, respectivement qu’il ait désormais été extradé, ne change rien au fait que la cause ne présente objectivement ni subjectivement aucune difficulté qu’il ne puisse pas surmonter seul. Partant, c’est à bon droit que le Tribunal de police de l’arrondissement de Lausanne a refusé de désigner un défenseur d’office au recourant. 3. En définitive, le recours doit être rejeté, sans échange d’écritures (art. 390 al. 2 CPP) et le prononcé entrepris confirmé. Les frais de la procédure de recours, constitués en l’espèce du seul émolument d’arrêt, par 1’100 fr. (art. 20 al. 1 TFIP [tarif des frais de</w:t>
      </w:r>
    </w:p>
    <w:p>
      <w:r>
        <w:t>- 11 - procédure et indemnités en matière pénale du 28 septembre 2010 ; BLV 312.03.1]), seront mis à la charge du recourant, qui succombe (art. 428 al. 1 CPP). Par ces motifs, la Chambre des recours pénale prononce : I. Le recours est rejeté. II. Le prononcé du 13 novembre 2024 est confirmé. III. Les frais d’arrêt, par 1’100 fr. (mille cent francs), sont mis à la charge de Y.________. IV. L’arrêt est exécutoire. Le président : La greffière : Du Le présent arrêt, dont la rédaction a été approuvée à huis clos, est notifié, par l'envoi d'une copie complète, à : - Y.________, - Ministère public central, et communiqué à : - Mme la Présidente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