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PE21.013181 vom 7. September 2023</w:t>
      </w:r>
    </w:p>
    <w:p>
      <w:r>
        <w:t>VD Tribunal cantonal, 2023-09-07, FR</w:t>
      </w:r>
    </w:p>
    <w:p>
      <w:r>
        <w:rPr>
          <w:b/>
        </w:rPr>
        <w:t xml:space="preserve">Quelle: </w:t>
      </w:r>
      <w:r>
        <w:t>https://mcp.opencaselaw.ch/entscheid/vd_gerichte_PE21.013181</w:t>
      </w:r>
    </w:p>
    <w:p>
      <w:r>
        <w:t>FR: VD_GERICHTE PE21.013181 du 7 septembre 2023</w:t>
      </w:r>
    </w:p>
    <w:p>
      <w:r>
        <w:t>IT: VD_GERICHTE PE21.013181 del 7 settembre 2023</w:t>
      </w:r>
    </w:p>
    <w:p>
      <w:pPr>
        <w:pStyle w:val="Heading2"/>
      </w:pPr>
      <w:r>
        <w:t>Erwägungen</w:t>
      </w:r>
    </w:p>
    <w:p>
      <w:r>
        <w:rPr>
          <w:b/>
        </w:rPr>
        <w:t>E. 4.1</w:t>
      </w:r>
    </w:p>
    <w:p>
      <w:r>
        <w:t>L’appelant invoque une violation du principe in dubio pro reo. Il soutient qu’il n’y aurait pas suffisamment d’éléments pour affirmer qu’il aurait traité B.L.________ de « fils de pute ».</w:t>
      </w:r>
    </w:p>
    <w:p>
      <w:r>
        <w:rPr>
          <w:b/>
        </w:rPr>
        <w:t>E. 4.2</w:t>
      </w:r>
    </w:p>
    <w:p>
      <w:r>
        <w:t>Quant aux principes découlant de la présomption d’innocence, il est renvoyé au considérant 3.2.1 ci-dessus.</w:t>
      </w:r>
    </w:p>
    <w:p>
      <w:r>
        <w:rPr>
          <w:b/>
        </w:rPr>
        <w:t>E. 4.3</w:t>
      </w:r>
    </w:p>
    <w:p>
      <w:r>
        <w:t>En l’espèce, B.L.________ a affirmé que l’appelant l’avait traité de « fils de pute ». Quant à l’appelant, il a déclaré ne plus se souvenir s’il avait ou non injurié le prénommé. Autrement dit, il n’a jamais contesté ce fait et l’a au contraire envisagé comme une possibilité. A cela s’ajoute le contexte dans lequel l’insulte aurait été proférée, qui la rend tout à fait plausible. Partant, il n’y a aucun doute raisonnable que l’appelant a bel et bien injurié B.L.________ en le traitant de « fils de pute ». La condamnation de l’appelant pour injure au sens de l’art. 177 al. 1 CP, qualification qui n’est pas contestée en elle-même, doit donc être confirmée.</w:t>
      </w:r>
    </w:p>
    <w:p>
      <w:r>
        <w:rPr>
          <w:b/>
        </w:rPr>
        <w:t>E. 5.1</w:t>
      </w:r>
    </w:p>
    <w:p>
      <w:r>
        <w:t>L’appelant invoque une violation de l’art. 112 al. 1 let. b LAA. S’il admet ne pas avoir reversé les primes retenues sur le salaire de ses employés, il soutient en revanche qu’il n’avait pas les moyens de s’acquitter de ces primes, le non-paiement de celles-ci correspondant à la</w:t>
      </w:r>
    </w:p>
    <w:p>
      <w:r>
        <w:t>- 14 - période durant laquelle sa société était en proie à des poursuites successives. L’appelant invoque en outre une violation du principe de la maxime d’accusation, pour le motif que l’acte d’accusation ne ferait pas mention de l’élément constitutif de détournement de fonds. Enfin, l’appelant soutient que, dans tous les cas, il devrait être renoncé à sa poursuite, en application de l’art. 52 CP, ses employés n’ayant subi aucun dommage et celui-ci ayant déjà tout perdu avec la faillite de sa société. Partant sa condamnation ne serait pas nécessaire.</w:t>
      </w:r>
    </w:p>
    <w:p>
      <w:r>
        <w:rPr>
          <w:b/>
        </w:rPr>
        <w:t>E. 5.2.1</w:t>
      </w:r>
    </w:p>
    <w:p>
      <w:r>
        <w:t>Selon l’art. 112 al. 1 let. b LAA, est puni d’une peine pécuniaire de 180 jours-amende au plus, à moins qu’une infraction plus grave selon une autre loi n’ait été commise, quiconque, intentionnellement, en qualité d’employeur, retient les primes sur le salaire d’un travailleur mais les détourne de leur affectation. La réalisation de l’infraction à l’art. 112 al. 1 let. b LAA, qui a la même teneur que les art. 76 al. 3 LPP et 87 al. 3 aLAVS, suppose notamment que l’employeur ait eu les moyens de s’acquitter du montant des cotisations au moment où il a effectué la retenue (ATF 122 IV 270 consid. 2c ; ATF 117 IV 78 consid. 2d/aa) et qu’il ait omis de transférer les cotisations échues à la dernière date possible (ATF 122 IV 270 consid. 2c), bien qu’il en ait eu la faculté ou parce que son incapacité à le faire résulte d’une violation fautive du devoir de garder à disposition les fonds nécessaires. L’obligation de conserver la substance de ces fonds correspond à un devoir général de diligence de l’entrepreneur, dont la violation est punissable. II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(ATF 122 IV 270 consid. 2c et les arrêts cités).</w:t>
      </w:r>
    </w:p>
    <w:p>
      <w:r>
        <w:rPr>
          <w:b/>
        </w:rPr>
        <w:t>E. 5.2.2</w:t>
      </w:r>
    </w:p>
    <w:p>
      <w:r>
        <w:t>Le principe de l'accusation est consacré par l'art. 9 CPP. Selon cette disposition, une infraction ne peut faire l'objet d'un jugement que si</w:t>
      </w:r>
    </w:p>
    <w:p>
      <w:r>
        <w:t>- 15 -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 TF 6B_666/2023 du 29 janvier 2024 consid. 3.1 ; TF 6B_558/2023 du 11 septembre 2023 consid. 1.1).</w:t>
      </w:r>
    </w:p>
    <w:p>
      <w:r>
        <w:rPr>
          <w:b/>
        </w:rPr>
        <w:t>E. 5.2.3</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5.3</w:t>
      </w:r>
    </w:p>
    <w:p>
      <w:r>
        <w:t>On doit admettre avec l’appelant qu’il convient d’abord d’examiner s’il était en mesure de s’acquitter des primes LAA. On peut</w:t>
      </w:r>
    </w:p>
    <w:p>
      <w:r>
        <w:t>- 16 - toutefois lui objecter, à l’instar du premier juge, qu’il n’a jamais contesté les rappels et les sommations, mais surtout, on peut voir que sa société a perduré pendant deux ans avant d’être déclarée en faillite, laquelle remonte à 2019. Or, en 2017, tout comme en 2018, rien n’a été reversé à la caisse, alors même que la société était en activité et versait des salaires. On peut dès lors faire grief à l’appelant d’avoir violé fautivement son devoir de garder à disposition les fonds nécessaires en les affectant à d’autres fins pour poursuivre son activité, ce qui fonde l’infraction à l’art. 112 al. 1 let. b LAA. Quant à la violation du principe de la maxime d’accusation, on constate que l’acte d’accusation mentionne que l’employeur, tenu par une obligation légale, n’a pas reversé les cotisations qui ont été prélevées sur les salaires de ses employés à l’institution compétente. Il en découle qu’il a détourné ces montants. C’est ainsi en vain que l’appelant essaie de plaider que l’acte d’accusation n’est pas suffisamment précis. Les faits retenus lui permettaient parfaitement de comprendre ce qui lui était reproché, celui-ci n’ayant d’ailleurs nullement été entravé dans sa défense. Enfin, comme on le verra ci-après, on ne saurait qualifier la culpabilité de l’appelant de très légère ou de peu d’importance. Le comportement reproché à l’appelant n’est en effet pas anodin. Celui-ci a sciemment, de manière répétée, violé son obligation de reverser à l’institution compétente les cotisations prélevées sur les salaires de ses employés. Une renonciation à la poursuite de l’appelant pour ces faits, pas plus qu’une exemption de peine, n’entre en ligne de compte. Il résulte de l’ensemble des éléments qui précèdent que la condamnation de l’appelant pour infraction à la LAA doit être confirmée.</w:t>
      </w:r>
    </w:p>
    <w:p>
      <w:r>
        <w:rPr>
          <w:b/>
        </w:rPr>
        <w:t>E. 6.1</w:t>
      </w:r>
    </w:p>
    <w:p>
      <w:r>
        <w:t>Le chef d’accusation de dommages à la propriété ayant été abandonné, la peine doit être revue.</w:t>
      </w:r>
    </w:p>
    <w:p>
      <w:r>
        <w:t>- 17 -</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6.2.2</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w:t>
      </w:r>
    </w:p>
    <w:p>
      <w:r>
        <w:t>- 18 - au plus. Il peut exceptionnellement, si la situation personnelle et économique de l'auteur l'exige, être réduit jusqu'à 10 francs.</w:t>
      </w:r>
    </w:p>
    <w:p>
      <w:r>
        <w:rPr>
          <w:b/>
        </w:rPr>
        <w:t>E. 6.2.3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t>- 19 -</w:t>
      </w:r>
    </w:p>
    <w:p>
      <w:r>
        <w:rPr>
          <w:b/>
        </w:rPr>
        <w:t>E. 6.3</w:t>
      </w:r>
    </w:p>
    <w:p>
      <w:r>
        <w:t>En l’espèce, l’appelant s’est rendu coupable d’injure, infraction à LAA et infraction à la LArm. Sa culpabilité n’est pas anodine. Comme déjà mentionné précédemment, celui-ci a sciemment et de manière répétée, violé son obligation de reverser à l’institution compétente les cotisations prélevées sur les salaires de ses employés. En outre, il n’a pas hésité à détenir, mais surtout à se servir d’une arme, quand bien même aucun dommage n’est à déplorer. A charge, il y a également lieu de tenir compte du concours d’infractions. A décharge, il convient de retenir le contexte familial délétère, auquel il se trouve dorénavant mêlé, puisqu’il est le compagnon de C.L.________, épouse de B.L.________, avec lequel il était ami par le passé. On relèvera également la provocation de ce dernier lors des faits qui ont eu lieu le 19 juillet 2021. L’absence d’antécédents est un élément neutre. Le choix de la peine pécuniaire ne se discute pas. Ce genre de peine est suffisant pour déployer l’effet préventif escompté. L’infraction la plus grave est l’infraction à la LAA, qui doit être sanctionnée de 90 jours-amende, peine augmentée, par les effets du concours, de 20 jours-amende pour l’infraction à la LArm et de 10 jours pour l’infraction d’injure. Compte tenu de ce qui précède, c’est une peine pécuniaire de 120 jours-amende qui doit être infligée à l’appelant. La valeur du jour- amende fixée à 30 fr. ne prête pas le flanc à la critique, compte tenu de la situation personnelle et économique de l’appelant. La peine pécuniaire prononcée peut être assortie du sursis, le délai d’épreuve étant fixé à deux ans (art. 42 al. 1 et 4 CP).</w:t>
      </w:r>
    </w:p>
    <w:p>
      <w:r>
        <w:rPr>
          <w:b/>
        </w:rPr>
        <w:t>E. 7.1</w:t>
      </w:r>
    </w:p>
    <w:p>
      <w:r>
        <w:t>L’appelant soutient avoir droit à une indemnité au sens de l’art. 429 al. 1 let. a CPP pour ses frais de défense en première instance.</w:t>
      </w:r>
    </w:p>
    <w:p>
      <w:r>
        <w:t>- 20 -</w:t>
      </w:r>
    </w:p>
    <w:p>
      <w:r>
        <w:rPr>
          <w:b/>
        </w:rPr>
        <w:t>E. 7.2</w:t>
      </w:r>
    </w:p>
    <w:p>
      <w:r>
        <w:t>Aux termes de l’art. 429 al. 1 let. a CPP, dans sa teneur au 31 décembre 2023 (cf. art. 453 al. 1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w:t>
      </w:r>
    </w:p>
    <w:p>
      <w:r>
        <w:rPr>
          <w:b/>
        </w:rPr>
        <w:t>E. 7.3</w:t>
      </w:r>
    </w:p>
    <w:p>
      <w:r>
        <w:t>En l’espèce, la condamnation de l’appelant pour injure, infraction à la LArm et infraction à la LAA est confirmée. Quant à sa libération de l’infraction de dommages à la propriété, il y a lieu de considérer que l’autorité d’instruction était fondée à ouvrir une enquête pénale à l’encontre de l’appelant, dès lors que celui-ci a fait usage d’une arme pour asséner un coup sur un véhicule. Autrement dit, par son comportement, l’appelant a, de manière illicite et fautive, provoqué l’ouverture de la procédure. Par conséquent, il y a lieu de refuser à l’appelant l’allocation d’une indemnité, même réduite, au sens de l’art. 429 al. 1 let. a CPP pour ses frais de défense en première instance.</w:t>
      </w:r>
    </w:p>
    <w:p>
      <w:r>
        <w:rPr>
          <w:b/>
        </w:rPr>
        <w:t>E. 8.1</w:t>
      </w:r>
    </w:p>
    <w:p>
      <w:r>
        <w:t>L’appelant invoque une violation de l’art. 418 CPP. Il soutient que les frais de première instance auraient été répartis de manière inéquitable.</w:t>
      </w:r>
    </w:p>
    <w:p>
      <w:r>
        <w:rPr>
          <w:b/>
        </w:rPr>
        <w:t>E. 8.2</w:t>
      </w:r>
    </w:p>
    <w:p>
      <w:r>
        <w:t>Aux termes de l'art. 418 al. 1 CPP, lorsque plusieurs personnes sont astreintes au paiement des frais, ceux-ci sont répartis proportionnellement entre elles.</w:t>
      </w:r>
    </w:p>
    <w:p>
      <w:r>
        <w:t>- 21 - Cette répartition doit rester la règle, mais on peut toutefois, le cas échéant, tenir compte de la gravité de l’infraction imputée à chacun au moment de fixer cette répartition, ce d’autant plus qu’elle se répercutera souvent sur la charge objective de l’instruction en imposant d’investiguer plus en détail (Crevoisier/ Crevoisier, in CR CPP, op. cit., n. 1 ad art. 418 CPP ; Moreillon/Parein-Reymond, Petit Commentaire, Code de procédure pénale, 2e éd., Bâle 2016, n. 4 ad art. 418 CPP ; Message du Conseil fédéral relatif à l’unification du droit de la procédure pénale du 21 décembre 2006, FF 2006 1057, spéc. p. 1308).</w:t>
      </w:r>
    </w:p>
    <w:p>
      <w:r>
        <w:rPr>
          <w:b/>
        </w:rPr>
        <w:t>E. 8.3</w:t>
      </w:r>
    </w:p>
    <w:p>
      <w:r>
        <w:t>Au préalable, on relèvera que l’abandon du chef d’accusation de dommages à la propriété ne justifie pas de modifier la répartition des frais de première instance, le prévenu ayant, de manière illicite et fautive, provoqué l’ouverture de la procédure au sens de l’art. 426 al. 2 CPP. Pour le surplus, on relèvera ce qui suit. Le premier juge a mis la moitié des frais à la charge de l’appelant (soit cinq dixièmes) et, pour tenir compte de l’acquittement partiel, surtout de B.L.________, prévenu de mise en danger de la vie d’autrui, et d’O.________, qui répondait de deux chefs d’accusation, soit de diffamation et d’injure, et qui a été libéré du délit de diffamation, a ventilé le solde comme il suit : un dixième à la charge de B.L.________ et un dixième à la charge d’O.________, laissant le solde, soit trois dixièmes, à la charge de l’Etat. B.L.________ répondait des chefs d’accusation de mise en danger de la vie d’autrui, violation grave des règles de la circulation routière, subsidiairement de violation simple des règles de la circulation routière. Seule cette dernière infraction a été retenue. On ne voit pas que l’instruction du cas relaté ci-dessus dans la partie « En fait », sous chiffre 2.1 – dont l’appelant fait partie – a généré un travail important de la part des enquêteurs pour le volet des infractions non imputables à l’appelant (mise en danger de la vie d’autrui en particulier). L’appelant était renvoyé initialement pour quatre chefs d’accusation, dont un n’est pas retenu, ce qui toutefois, comme on l’a vu,</w:t>
      </w:r>
    </w:p>
    <w:p>
      <w:r>
        <w:t>- 22 - n’a pas d’incidence sur les frais. Il fait aussi l’objet d’un dossier B joint, qui concerne l’infraction à la LAA. C’est lui qui a la peine la plus importante. Dans ces conditions, la répartition des frais est adéquate et doit être confirmée.</w:t>
      </w:r>
    </w:p>
    <w:p>
      <w:r>
        <w:rPr>
          <w:b/>
        </w:rPr>
        <w:t>E. 9</w:t>
      </w:r>
    </w:p>
    <w:p>
      <w:r>
        <w:t>En définitive, l’appel doit être partiellement admis et le jugement réformé dans le sens des considérants qui précèdent. Au vu de la liste d’opérations produite par Me Priscille Ramoni, défenseur d’office de P.________, dont il n’y a pas lieu de s’écarter, c’est une indemnité de 1'495 fr. 95, TVA et débours inclus, qui lui sera allouée. Vu l’issue de la cause, les frais de la procédure d’appel, par 3'655 fr. 95, constitués de l’émolument de jugement, par 2'160 fr. (art. 21 al. 1 et 2 TFIP [Tarif des frais de procédure et indemnités en matière pénale du 28 septembre 2010 ; BLV 312.03.1]), ainsi que de l’indemnité allouée à son défenseur d’office, par 1'495 fr. 95, seront mis par trois quarts à la charge de P.________, qui succombe partiellement (art. 428 al. 1 CPP), le solde étant laissé à la charge de l’Etat. L’appelant ne sera toutefois tenu de rembourser à l’Etat les trois quarts de l’indemnité en faveur de son défenseur d’office que lorsque sa situation financière le permettra (art. 135 al. 4 let. a CPP). La Cour d’appel pénale, appliquant à P.________ les art. 34, 42 al. 1 et 4, 47, 49 al. 1, 177 al. 1 CP ; 33 al. 1 let. a LArm ; 112 al. 1 let. b LAA ; 398 ss CPP, prononce : I. L’appel est partiellement admis.</w:t>
      </w:r>
    </w:p>
    <w:p>
      <w:r>
        <w:t>- 23 - II. Le jugement rendu le 7 septembre 2023 par le Tribunal de police de l’arrondissement de Lausanne est modifié comme il suit au chiffre IV de son dispositif et par l’ajout à son dispositif d’un chiffre IVbis nouveau, le dispositif du jugement étant désormais le suivant : "I. inchangé ; II. inchangé ; III. inchangé ; IV. libère P.________ de l’infraction de dommages à la propriété ; IVbis.constate que P.________ s’est rendu coupable d’injure, infraction à la loi fédérale sur l’assurance-accident et infraction à la loi fédérale sur les armes, les accessoires d’armes et les munitions ; V. condamne P.________ à une peine pécuniaire de 120 (cent vingt) jours-amende à 30 fr. (trente francs), avec sursis pendant deux ans ; VI. inchangé ; VII. inchangé ; VIII. inchangé ; IX. inchangé ; X. ordonne le maintien au dossier à titre de pièces à conviction des objets inventoriés sous fiches n° 32118, n° 32277 et n° 35750 ; XI. rejette tout autre ou plus ample conclusion ; XII. inchangé ; XIII. met les frais de la présente cause, par 318 fr. 50 à la charge de B.L.________, par 3'125 fr. à la charge de P.________ et par 312 fr. 50 à la charge d’O.________, le solde, dont l’indemnité de Me Charlotte Iselin, étant laissé à la charge de l’Etat." III. Une indemnité de défenseur d'office pour la procédure d'appel d'un montant de 1'495 fr. 95, TVA et débours inclus, est allouée à Me Priscille Ramoni.</w:t>
      </w:r>
    </w:p>
    <w:p>
      <w:r>
        <w:t>- 24 - IV.Les frais d'appel, par 3'655 fr. 95, y compris l'indemnité allouée au défenseur d'office, sont mis par trois quarts à la charge de P.________, le solde étant laissé à la charge de l’Etat. V. P.________ ne sera tenu de rembourser à l’Etat les trois quarts de l’indemnité en faveur de son défenseur d’office prévue au chiffre III ci-dessus que lorsque sa situation financière le permettra. VI. Le jugement motivé est exécutoire. Le président : La greffière : Du Le jugement qui précède, dont le dispositif a été communiqué par écrit aux intéressés le 14 mars 2024, est notifié, par l'envoi d'une copie complète, à : - Me Priscille Ramoni, avocate (pour P.________), - Ministère public central, et communiqué à : - Mme la Présidente du Tribunal de police de l'arrondissement de Lausanne, - Mme la Procureure de l'arrondissement de Lausanne, - Service de la population, par l'envoi de photocopies.</w:t>
      </w:r>
    </w:p>
    <w:p>
      <w:r>
        <w:t>- 25 -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