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PE21.013076 vom 4. August 2021</w:t>
      </w:r>
    </w:p>
    <w:p>
      <w:r>
        <w:t>VD Tribunal cantonal, 2021-08-04, FR</w:t>
      </w:r>
    </w:p>
    <w:p>
      <w:r>
        <w:rPr>
          <w:b/>
        </w:rPr>
        <w:t xml:space="preserve">Quelle: </w:t>
      </w:r>
      <w:r>
        <w:t>https://mcp.opencaselaw.ch/entscheid/vd_gerichte_PE21.013076</w:t>
      </w:r>
    </w:p>
    <w:p>
      <w:r>
        <w:t>FR: VD_GERICHTE PE21.013076 du 4 août 2021</w:t>
      </w:r>
    </w:p>
    <w:p>
      <w:r>
        <w:t>IT: VD_GERICHTE PE21.013076 del 4 agosto 2021</w:t>
      </w:r>
    </w:p>
    <w:p>
      <w:pPr>
        <w:pStyle w:val="Heading2"/>
      </w:pPr>
      <w:r>
        <w:t>Erwägungen</w:t>
      </w:r>
    </w:p>
    <w:p>
      <w:r>
        <w:rPr>
          <w:b/>
        </w:rPr>
        <w:t>E. 1</w:t>
      </w:r>
    </w:p>
    <w:p>
      <w:r>
        <w:t>Interjeté dans le délai légal (art. 396 al. 1 CPP) contre une décision du Tribunal des mesures de contrainte dans un cas prévu par le CPP (art. 393 al. 1 let. c CPP), par un partie qui a qualité pour recourir (art. 222 et 382 al. 1 CPP) et dans les formes prescrites (art. 385 al. 1 CPP), le recours est recevable (cf. not. CREP 26 février 2020/130).</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2.1.1</w:t>
      </w:r>
    </w:p>
    <w:p>
      <w:r>
        <w:t>p. 22; TF 1B_587/2020 du 10 décembre 2020 consid. 3.2).</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w:t>
      </w:r>
    </w:p>
    <w:p>
      <w:r>
        <w:rPr>
          <w:b/>
        </w:rPr>
        <w:t>E. 2.3</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w:t>
      </w:r>
    </w:p>
    <w:p>
      <w:r>
        <w:t>- 9 -</w:t>
      </w:r>
    </w:p>
    <w:p>
      <w:r>
        <w:rPr>
          <w:b/>
        </w:rPr>
        <w:t>E. 3.1</w:t>
      </w:r>
    </w:p>
    <w:p>
      <w:r>
        <w:t>En l’espèce, l’intimé, après n’avoir passé que des aveux partiels lors de son audition par la police, reconnaît désormais sans réserve les faits incriminés. La condition légale de l’existence de forts soupçons est ainsi à l’évidence réalisée, vu les aveux du prévenu, lesquels sont d’ailleurs corroborés en partie par les copies d’écran de SMS versés au dossier.</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1B_91/2021 du 10 mars 2021 consid. 2.1;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w:t>
      </w:r>
    </w:p>
    <w:p>
      <w:r>
        <w:t>- 10 - respectivement son potentiel de violence. La mise en danger sérieuse de la sécurité d'autrui par des crimes ou des délits graves peut en principe concerner tous types de biens juridiquement protégés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3.2.2</w:t>
      </w:r>
    </w:p>
    <w:p>
      <w:r>
        <w:t>L'art. 221 al. 2 CPP permet par ailleurs d'ordonner la détention lorsqu'il y a lieu de craindre un passage à l'acte, même en l'absence de toute infraction préalable. Il doit s'agir d'un crime grave et non seulement d'un délit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w:t>
      </w:r>
    </w:p>
    <w:p>
      <w:r>
        <w:t>- 11 -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ATF 137 IV 122 consid. 5 p. 129). Plus l'infraction redoutée est grave, plus la mise en détention se justifie lorsque les éléments disponibles ne permettent pas une évaluation précise de ce risque (ATF 140 IV 19 consid.</w:t>
      </w:r>
    </w:p>
    <w:p>
      <w:r>
        <w:rPr>
          <w:b/>
        </w:rPr>
        <w:t>E. 3.3</w:t>
      </w:r>
    </w:p>
    <w:p>
      <w:r>
        <w:t>Les hypothèses prévues par l'art. 221 al. 1 CPP étant alternatives et non cumulatives (TF 1B_242/2016 du 21 juillet 2016 consid. 5; TF 1B_242/2013 du 5 août 2013 consid. 3; Chaix, op. cit, n. 2 ad art. 221 CPP), point n’est besoin d’examiner le risque de fuite, que le Ministère public a du reste renoncé à plaider dans son recours, même s’il a dit l’invoquer par ailleurs. Cette question peut donc rester ouverte.</w:t>
      </w:r>
    </w:p>
    <w:p>
      <w:r>
        <w:rPr>
          <w:b/>
        </w:rPr>
        <w:t>E. 4.1</w:t>
      </w:r>
    </w:p>
    <w:p>
      <w:r>
        <w:t>L’intimé propose des mesures de substitution à la détention provisoire, à savoir la « [p]rivation de liberté au sein de l’établissement psychiatrique de Cery ou tout autre établissement adapté, avec respect du cadre et sans fugue » et un « [t]raitement psychiatrique intégré comprenant la prise de médicaments adaptés selon les prescriptions d’ores et déjà en vigueur, sous réserve de l’évolution usuelle de la posologie ».</w:t>
      </w:r>
    </w:p>
    <w:p>
      <w:r>
        <w:t>- 13 -</w:t>
      </w:r>
    </w:p>
    <w:p>
      <w:r>
        <w:rPr>
          <w:b/>
        </w:rPr>
        <w:t>E. 4.2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les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Un placement en institution avant un jugement au fond n'est en principe pas exclu; la liste des mesures de substitution énoncée à l'art. 237 CPP n'est en effet pas exhaustive (ATF 142 IV 367 consid. 2.1 p. 370) et rien ne s'oppose à un tel placement, combiné le cas échéant avec d'autres mesures, si cela permet d'atteindre le même but que la détention. Une telle mesure doit cependant reposer sur un avis d'expert (TF 1B_171/2019 du 8 mai 2019 consid. 3.1; TF 1B_3/2019 du 17 janvier 2019 consid. 3.2; TF 1B_100/2016 du 5 avril 2016 consid. 3.2; TF 1B_654/2011 du 7 décembre 2011 consid. 4.2, in : Plaidoyer 2012 p. 51).</w:t>
      </w:r>
    </w:p>
    <w:p>
      <w:r>
        <w:rPr>
          <w:b/>
        </w:rPr>
        <w:t>E. 4.3</w:t>
      </w:r>
    </w:p>
    <w:p>
      <w:r>
        <w:t>En l’espèce, le dossier ne comporte aucun avis d’expert. Le Ministère public relève du reste, dans sa demande de mise en détention provisoire, qu’une expertise psychiatrique sera ordonnée. Cela fait obstacle au placement du prévenu en institution avant un jugement au fond au titre de mesure de substitution selon l’art. 237 CPP. Pour le reste, l’obligation de se soumettre à un traitement ambulatoire n’apparaît pas pouvoir juguler la propension à la violence de l’intimé, loin s’en faut. Il apparaît en effet pour le moins difficile d’organiser une telle mesure avec l’assurance que le prévenu s’y conforme, vu son instabilité psychique. Du reste, les actes incriminés ont été commis alors que l’intéressé avait été placé à l’Hôpital de Cery, où il séjournait pour la sixième fois selon ses dires (PV aud. du 26 juillet 2021, l. 27-28) et où il était censé suivre un traitement. Dans ces circonstances, force est d’admettre qu’aucune</w:t>
      </w:r>
    </w:p>
    <w:p>
      <w:r>
        <w:t>- 14 - mesure de substitution n’apparaît, du moins en l’état, propre à pallier les risques de réitération et de passage à l’acte, notamment celles que propose le prévenu. Sous l’angle de la proportionnalité, il faut relever que le prévenu est détenu depuis le 23 juillet 2021. Les faits incriminés sont d’une gravité significative. Il y a concours d’infractions et le prévenu a des antécédents, même si ceux-ci sont anciens. Dans ces conditions, il convient de fixer à trois mois la durée initiale de la détention provisoire, conformément aux conclusions du recours, une telle durée s’avérant proportionnée à la peine privative de liberté susceptible d’être concrètement prononcée.</w:t>
      </w:r>
    </w:p>
    <w:p>
      <w:r>
        <w:rPr>
          <w:b/>
        </w:rPr>
        <w:t>E. 5</w:t>
      </w:r>
    </w:p>
    <w:p>
      <w:r>
        <w:t>Il résulte de ce qui précède que le recours doit être admis et l’ordonnance du 26 juillet 2021 réformée dans le sens des considérants. Les frais de la procédure de recours, par 1'430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 à 180 fr. de l’heure), des débours forfaitaires par 10 fr. 80 (cf. art. 26b TFIP qui renvoie à l'art. 3bis RAJ [règlement sur l’assistance judiciaire en matière civile du 7 décembre 2010; BLV 211.02.3]) et la TVA sur le tout, au taux de 7,7%, par 42 fr. 40, seront mis à la charge de l’intimé, qui succombe (art. 428 al. 1 CPP). Le remboursement à l'Etat de l'indemnité allouée au défenseur d'office de l’intimé ne sera exigible que pour autant que la situation financière de ce dernier le permette (art. 135 al. 4 CPP).</w:t>
      </w:r>
    </w:p>
    <w:p>
      <w:r>
        <w:t>- 15 - Par ces motifs, la Chambre des recours pénale prononce : I. Le recours est admis. II. L’ordonnance du 26 juillet 2021 est réformée comme il suit aux chiffres I et II de son dispositif : « I. ordonne la détention provisoire de X.________; II. fixe la durée maximale de la détention provisoire à trois mois, soit au plus tard jusqu’au 23 octobre 2021. » III. L’indemnité allouée au défenseur d’office de X.________ est fixée à 594 fr. (cinq cent nonante-quatre francs). IV. Les frais d’arrêt, par 1'430 fr. (mille quatre cent trente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La vice-présidente : Le greffier :</w:t>
      </w:r>
    </w:p>
    <w:p>
      <w:r>
        <w:t>- 16 - Du Le présent arrêt, dont la rédaction a été approuvée à huis clos, est notifié, par l'envoi d'une copie complète, à : - Me Quentin Racine, avocat (pour X.________), - Mme [...], - Ministère public central,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