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PE21.012869 vom 5. Dezember 2022</w:t>
      </w:r>
    </w:p>
    <w:p>
      <w:r>
        <w:t>VD Tribunal cantonal, 2022-12-05, FR</w:t>
      </w:r>
    </w:p>
    <w:p>
      <w:r>
        <w:rPr>
          <w:b/>
        </w:rPr>
        <w:t xml:space="preserve">Quelle: </w:t>
      </w:r>
      <w:r>
        <w:t>https://mcp.opencaselaw.ch/entscheid/vd_gerichte_PE21.012869</w:t>
      </w:r>
    </w:p>
    <w:p>
      <w:r>
        <w:t>FR: VD_GERICHTE PE21.012869 du 5 décembre 2022</w:t>
      </w:r>
    </w:p>
    <w:p>
      <w:r>
        <w:t>IT: VD_GERICHTE PE21.012869 del 5 dicembre 2022</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(Stephenson/Thiriet, in : Niggli/Heer/Wiprächtiger [éd.], Basler Kommentar, Schweizerische Strafprozessordnung, Jugendstrafprozessordnung, 2e éd., Bâle 2014, n. 10 ad art. 393 CPP). Elle peut être attaquée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dans le délai légal auprès de l’autorité compétente par la prévenue, qui a qualité pour recourir (art. 382 al. 1 CPP), et satisfaisant aux conditions de forme posées par l’art 385 al. 1 CPP, le recours est recevable.</w:t>
      </w:r>
    </w:p>
    <w:p>
      <w:r>
        <w:rPr>
          <w:b/>
        </w:rPr>
        <w:t>E. 2.1</w:t>
      </w:r>
    </w:p>
    <w:p>
      <w:r>
        <w:t>S.________ se plaint d’une violation de l’art. 30 CPP. Elle fait valoir qu’elle a déjà comparu, avec V.________, par-devant la Justice de paix de l’arrondissement du Lac à Fribourg, de sorte que la procédure serait déjà fortement avancée. Elle se prévaut aussi de ce que les faits en lien avec l’accident survenu le 14 mai 2022 n’auraient aucun rapport avec le complexe de faits impliquant V.________.</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w:t>
      </w:r>
    </w:p>
    <w:p>
      <w:r>
        <w:t>- 5 - objectives le justifient, le ministère public et les tribunaux peuvent ordonner la jonction ou la disjonction de procédures pénales (art. 30 CPP). Le principe de l'unité de la procédure découle de l’art. 49 CP qui veut que les infractions commises en concours soient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Petit commentaire du Code de procédure pénale, 2e éd., Bâle 2016, n. 3 ad art. 29 CPP). La règle générale de l’art. 29 al. 1 CPP tend ainsi à éviter au prévenu de devoir comparaître devant plusieurs tribunaux à raison des faits qui lui sont reprochés (Moreillon/Parein-Reymond, op. cit., n. 4 ad art. 29 CPP). Elle tend également à éviter des jugements contradictoires et sert l’économie de la procédure (ATF 138 IV 29 consid. 3.2 ; ATF 138 IV 214 consid. 3.2). Dans ces circonstances, le ministère public peut être tenu de joindre des procédures à l’encontre du même prévenu quand bien même la nature des infractions serait fort différente (ATF 138 IV 214 consid. 3.6 ; Moreillon/Parein-Reymond, op. cit., n. 5 ad art. 29 CPP, qui cite le cas de deux causes portant sur des infractions différentes, à savoir sur des violences domestiques et sur l’infraction d’escroquerie).</w:t>
      </w:r>
    </w:p>
    <w:p>
      <w:r>
        <w:rPr>
          <w:b/>
        </w:rPr>
        <w:t>E. 2.3</w:t>
      </w:r>
    </w:p>
    <w:p>
      <w:r>
        <w:t>En l’espèce, contrairement à ce qu’affirme la recourante, la cause concernant la plainte déposée à son encontre par V.________ n’est pas instruite dans le canton de Fribourg mais par le Ministère public du Nord vaudois et les parties ont été confrontées lors d’une audience devant la procureure (PV aud. 4), de sorte que l’argument soulevé à cet égard n’est pas pertinent. Il en va de même s’agissant du fait que les faits reprochés dans les deux procédures n’auraient aucun lien entre eux. En effet, il se justifie, en vertu du seul principe de l’unité de la procédure et conformément à la jurisprudence rappelée ci-dessus (cf. consid. 2.2) de joindre les deux procédures instruites à l’encontre de S.________, quand bien même la nature des infractions est différente, afin que tous faits reprochés à la recourante, s’ils s’avèrent en définitive établis, soient jugés</w:t>
      </w:r>
    </w:p>
    <w:p>
      <w:r>
        <w:t>- 6 - conjointement. Il existe au demeurant en l’occurrence une raison objective à la jonction des deux causes. En effet, selon les éléments ressortant des deux enquêtes en cours, confirmés sur ce point par les déclarations de S.________, les infractions auraient toutes été commises alors que l’intéressée était sous l’influence de l’alcool (PV aud. 2 p. 7 dans l’affaire PE[...] et PV aud. 1 p. 3 dans l’affaire PE[...]). Or, la problématique d’alcoolisation présente dans les deux affaires – et qui paraît ancrée depuis de nombreuses années puisque la recourante a admis qu’elle faisait l’objet d’une interdiction générale d’utiliser son permis de conduire en raison d’un accident de la circulation routière qu’elle avait provoqué plusieurs années auparavant alors qu’elle était sous l’emprise de l’alcool (PV aud. 1 p. 3 dans l’affaire PE[...]) – doit être prise en compte dans sa globalité, dans la mesure où le prononcé d’une mesure à cet égard pourrait être envisagé si les faits reprochés à S.________ s’avèrent établis au terme de l’instruction. Partant, c’est à juste titre que le Ministère public a retenu que le principe de l’unité de la procédure commandait la jonction des deux causes.</w:t>
      </w:r>
    </w:p>
    <w:p>
      <w:r>
        <w:rPr>
          <w:b/>
        </w:rPr>
        <w:t>E. 3</w:t>
      </w:r>
    </w:p>
    <w:p>
      <w:r>
        <w:t>Il résulte de ce qui précède que le recours, manifestement mal fondé, doit être rejeté et l’ordonnance du 15 septembre 2022 confirmée. Les frais de la procédure de recours, constitués du seul émolument d’arrêt, par 660 fr. (art. 20 al. 1 TFIP [tarif des frais de procédure et indemnités en matière pénale du 28 septembre 2010; BLV 312.03.1]), seront mis à la charge de la recourante, qui succombe (art. 428 al. 1 CPP).</w:t>
      </w:r>
    </w:p>
    <w:p>
      <w:r>
        <w:t>- 7 - Par ces motifs, la Chambre des recours pénale prononce : I. Le recours est rejeté. II. L’ordonnance du 15 septembre 2022 est confirmée. III. Les frais de la procédure, par 660 fr. (six cent soixante francs), sont mis à la charge de la recourante. IV. L’arrêt est exécutoire. La présidente : La greffière : Du Le présent arrêt, dont la rédaction a été approuvée à huis clos, est notifié, par l'envoi d'une copie complète, à : - Me David Papaux, avocat, (pour S.________), - Me Krishna Müller, avocat (pour V.________, - Ministère public central, et communiqué à : - Mme la Procureure de l’arrondissement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