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PE21.012681 vom 27. Februar 2023</w:t>
      </w:r>
    </w:p>
    <w:p>
      <w:r>
        <w:t>VD Tribunal cantonal, 2023-02-27, FR</w:t>
      </w:r>
    </w:p>
    <w:p>
      <w:r>
        <w:rPr>
          <w:b/>
        </w:rPr>
        <w:t xml:space="preserve">Quelle: </w:t>
      </w:r>
      <w:r>
        <w:t>https://mcp.opencaselaw.ch/entscheid/vd_gerichte_PE21.012681</w:t>
      </w:r>
    </w:p>
    <w:p>
      <w:r>
        <w:t>FR: VD_GERICHTE PE21.012681 du 27 février 2023</w:t>
      </w:r>
    </w:p>
    <w:p>
      <w:r>
        <w:t>IT: VD_GERICHTE PE21.012681 del 27 febbraio 2023</w:t>
      </w:r>
    </w:p>
    <w:p>
      <w:pPr>
        <w:pStyle w:val="Heading2"/>
      </w:pPr>
      <w:r>
        <w:t>Erwägungen</w:t>
      </w:r>
    </w:p>
    <w:p>
      <w:r>
        <w:rPr>
          <w:b/>
        </w:rPr>
        <w:t>E. 9</w:t>
      </w:r>
    </w:p>
    <w:p>
      <w:r>
        <w:t>mois. A cet égard, la Cour de céans se réfère intégralement au détail des faits retenu dans le jugement civil du 27 septembre 2018 (dossier B,</w:t>
      </w:r>
    </w:p>
    <w:p>
      <w:r>
        <w:t>- 33 - P. 6/11, pp. 2-7), qu’il n’y a pas lieu de remettre en cause. D’une part, il ressort en particulier de celui-ci que l’appelant a fait preuve d’une violence verbale extrême, qu’il a régulièrement tenu des propos obscènes et sexistes envers la plaignante et qu’il l’a insultée et l’a harcelée téléphoniquement. D’autre part, le jugement renseigne sur l’état psychique de F.________, notamment ses angoisses, ses peurs et son mal- être en relation avec le comportement de son employeur (ibidem, p. 8). Le tribunal civil a ainsi retenu que le comportement de A.Q.________ était constitutif de discrimination et de harcèlement sexuel (ibidem, pp. 14-19). Le tribunal de première instance a, à juste titre, qualifié les agissements de l’appelant de stalking. Au vu des faits retenus, les conditions posées à l’art. 181 CP pour retenir la contrainte sont manifestement réunies en l’espèce. S’agissant des lésions corporelles, seul le lien de causalité naturelle et adéquate est contesté. Il est établi que le comportement de l’appelant a entraîné un syndrome anxieux et dépressif moyen qui a généré des arrêts de travail, mais également un suivi régulier auprès de psychiatres et psychothérapeutes durant plusieurs années. Avant cela, la plaignante n’avait jamais eu de problème psychiatrique (dossier B, P. 13, expertise CEMed, p. 12). L’expert qui l’a examinée en mai 2019 a indiqué que, si celle-ci avait fait preuve de résilience ensuite du harcèlement subi, elle présentait toujours une hypervigilance en lien avec cet évènement, de sorte qu’une symptomatologie réactionnelle anxieuse d’intensité moyenne et dépressive d’intensité moyenne à forte pouvait être retenue (dossier B, P. 13, expertise CEMed, p. 18). Le fait que F.________ ait partiellement repris le travail et que l’assurance perte de gain du prévenu ait estimé la capacité de celle-ci non atteinte ne signifie pas qu’une atteinte psychologique durable notamment puisse être exclue, dès lors que l’incapacité de travail et les lésions corporelles ne se confondent pas. Comme retenu par le tribunal civil, les troubles dont souffre F.________ ont commencé à se développer en cours d’emploi, lorsqu’elle travaillait pour l’appelant (cf. dossier B, PV aud. 1, ll. 33 à 37). Cela a également été confirmé par l’expertise réalisée le 28 mai 2019 par le CEMed qui retient</w:t>
      </w:r>
    </w:p>
    <w:p>
      <w:r>
        <w:t>- 34 - l’existence d’une notion de harcèlement moral et sexuel (dossier B, P. 13, expertise CEMed, p. 18). Entre la fin des rapports de travail, en juin 2016, et décembre 2019, la plaignante s’est ainsi rendue à près de 130 rendez- vous médicaux et thérapeutiques (dossier B, P. 5, ch. 38). Le lien de causalité naturelle entre le comportement de l’appelant et les lésions subies par la plaignante ne fait donc pas de doute. De même, l’expérience générale de la vie et le cours ordinaire des choses enseignent que, lorsqu’un employeur s’en prend à sa travailleuse, de manière répétée et durable, en la harcelant, l’injuriant, la rabaissant et en la méprisant, il est à prévoir qu’une atteinte à la santé soit ainsi causée à celle-ci. A l’instar des premiers juges, la Cour de céans retiendra dès lors également l’existence du lien de causalité adéquate. Un tel lien avait du reste déjà été retenu par le tribunal civil lors de la condamnation de l’appelant au versement d’une indemnité à la plaignante au sens de l’art. 5 al. 3 Leg (loi sur l’égalité du 24 mars 1995 ; RS 151.1) (dossier B, P. 6/11, p. 19). Il s’ensuit que le grief de l’appelant doit être rejeté. 4.1.3 4.1.3.1 L’appelant estime le montant de 10'000 fr. accordé à la plaignante à titre de tort moral comme étant totalement excessif, disproportionné et injustifié. 4.1.3.2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(Code des obligations du 30 mars 1911 ; RS 220), le juge peut, compte tenu des circonstances particulières, allouer à la victime de lésions corporelles ou, en cas de mort d'homme, à</w:t>
      </w:r>
    </w:p>
    <w:p>
      <w:r>
        <w:t>- 35 -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4.1.3.3 En première instance, la plaignante avait réclamé une indemnité pour le tort moral subi de 20'000 francs. Les premiers juges lui ont alloué un montant de 10'000 fr., en tenant compte du fait qu’il était établi que le trouble dépressif dont elle souffrait découlait du harcèlement de l’appelant, mais que tel n’était pas le cas de la fibromyalgie. L’état médical actuel de la plaignante est prouvé par des certificats médicaux. Abstraction faite de la fibromyalgie, il est attesté que la plaignante souffre toujours de stress post-traumatique et d’un état anxieux contribuant à engendrer des insomnies, des troubles de la concentration, une asthénie chronique et un état dépressif récurrent, actuellement d’intensité modérée, soit des atteintes à sa santé entraînant</w:t>
      </w:r>
    </w:p>
    <w:p>
      <w:r>
        <w:t>- 36 - notamment une diminution de sa qualité de vie (cf. P. 172/2). Comme on l’a vu, le trouble dépressif de la plaignante découle du harcèlement dont elle a été victime. Il dure depuis plusieurs années. Ainsi, au vu des nombreux actes commis au préjudice de F.________, du fait qu’ils se sont inscrits dans la durée, dans le cadre d’une relation de travail et qu’ils ont considérablement affecté la vie de la plaignante, une indemnité d’un montant de 10'000 fr. est justifiée, tant dans son principe que dans sa quotité. Mal fondé, le grief de l’appelant sera rejeté. 4.2 Appel joint de F.________ 4.2.1 La plaignante, appelante par voie de jonction, conteste que les lésions corporelles graves infligées l’aient été sous la forme d’une négligence. Elle considère que les premiers juges devaient retenir l’intention, cas échéant par dol éventuel. Elle estime que le prévenu avait pleinement conscience que ses actes, par leur répétition, leur gravité et leur persistance, étaient susceptibles d’occasionner une grave atteinte à la santé à quiconque les subit. Cela serait d’autant plus vrai que le prévenu n’avait eu de cesse de se plaindre d’être lui-même victime d’acharnement et de persécution de la part des autorités étatiques. A tout le moins pour la plaignante, le prévenu a accepté le risque de lui infliger des lésions corporelles graves au cas où un tel risque se produirait. Elle conclut également à la suppression du chiffre II du dispositif du jugement, en tant qu’il ne serait pas possible de faire coexister, d’une part, la libération du prévenu des infractions de lésions corporelles graves et de lésions corporelles simples et, d’autre part, la condamnation de celui-ci pour lésions corporelles graves par négligence et contrainte, dans la mesure où elles reposaient sur le même complexe de faits. 4.2.2</w:t>
      </w:r>
    </w:p>
    <w:p>
      <w:r>
        <w:t>- 37 - 4.2.2.1 S’agissant de l’élément subjectif de l’infraction de lésions corporelles graves, il ne fait guère de doute que le prévenu avait l’intention de maintenir la plaignante sous son emprise, de la rabaisser ou de l’humilier, afin de la contrôler et de la dominer. Cette situation génère un stress et une tension permanente, nécessitant une adaptabilité de tous les instants de la part de la victime. Ces attaques répétées constituent sans nul doute une atteinte à l’intégrité psychique de celle-ci. Les conséquences sur la santé sont importantes, mais elles ne constituent pas forcément ce qui motive en premier lieu l’auteur. En effet, même si les actes sont intentionnels et recèlent une dimension offensive, il n’apparaît pas que le but de A.Q.________ ait été de plonger la plaignante dans un état dépressif. Le recours à cette violence psychique semble en l’occurrence davantage être le fruit d’une insatisfaction ou de frustrations dans une situation donnée ou encore survient dans le cadre d’interactions professionnelles conflictuelles. S’agissant d’un processus sur le long court, qui s’instaure aussi parfois inconsciemment, notamment par des comportements quotidiens qui ne sont pas tous pénalement répréhensibles, et alors que l’auteur souffre lui-même de troubles psychiques (trouble de la personnalité émotionnellement labile, de type impulsif, et de dépression atypique, cf. P. 84), la Cour de céans considère que le prévenu n’a pas agi intentionnellement, ni même par dol éventuel. Son intention ne portait que sur la commission de lésions corporelles simples, sans qu’il n’ait pu s’attendre à ce qu’elles entraînent également des lésions corporelles graves à la plaignante. Il s’ensuit que le grief de l’appelante par voie de jonction sera rejeté. 4.2.2.2 La suppression du chiffre II du dispositif du jugement réclamée par la plaignante sera également rejetée. Contrairement à ce que celle-ci prétend, le cas d’espèce n’est pas assimilable à la situation de l’ATF 144 IV 362 invoqué dans son appel joint, dans lequel le Ministère public avait ordonné, pour un même complexe de faits et à l’égard d’un même prévenu, tantôt le classement partiel de la procédure pour une infraction, tantôt la condamnation par ordonnance pénale du prévenu pour une autre</w:t>
      </w:r>
    </w:p>
    <w:p>
      <w:r>
        <w:t>- 38 - infraction, le tout dans la même décision. Il était alors question de la correcte application du classement partiel de la procédure au sens de l’art. 319 al. 1 let. b CPP, lequel peut uniquement entrer en considération lorsque la procédure porte sur plusieurs complexes de faits qui ne présentent pas d’unité. Tel n’est pas le cas en l’espèce. Il s’agit ici uniquement d’apprécier juridiquement un même et unique complexe de faits, soit de qualifier les lésions infligées par A.Q.________ à B.Q.________, notamment sous l’angle subjectif. On ne voit pas en quoi le principe ne bis in idem serait en l’occurrence atteint, dès lors qu’un seul jugement est rendu, exempt de toute contradiction. En définitive, ce grief doit être rejeté et avec lui l’ensemble de l’appel joint. 5. Faits en lien avec les autorités administratives (cf. supra consid. C.2.1) 5.1 Dans son appel, A.Q.________ conteste ensuite les faits en rapport avec les autorités administratives. Il soutient que les propos qu’il a tenus aux collaborateurs de l’OP d’Aigle n’incluaient en aucun cas une quelconque intention de passer à l’acte, mais « simplement une volonté ferme d’être enfin entendu, notamment s’agissant des décisions de taxation fiscales abracadabrantesques prises d’office pour des montants vertigineux ». Des mots prononcés dans de telles situations et dans un état de colère dont l’origine serait compréhensible ne constitueraient pas une intention délictuelle de sa part. Il fait en outre valoir que la notion de « passer à l’acte » s’agissant de sa personnalité, évoquée dans le rapport d’expertise du 21 avril 2022 (cf. P. 84), concernerait seulement un risque d’atteinte à sa propre personne et non à des tiers. 5.2 5.2.1 En vertu de l’art. 285 al. 1 CP, quiconque, en usant de violence ou de menace, empêche une autorité, un membre d’une autorité ou un fonctionnaire de faire un acte entrant dans ses fonctions, les contraint à faire un tel acte ou se livre à des voies de fait sur eux pendant qu’ils y</w:t>
      </w:r>
    </w:p>
    <w:p>
      <w:r>
        <w:t>- 39 - procèdent, est puni d’une peine privative de liberté de trois ans au plus. Dans les cas de peu de gravité, le juge peut prononcer une peine pécuniaire. L'art. 285 ch. 1 CP réprime deux infractions différentes : la contrainte contre les autorités ou les fonctionnaires et les voies de fait contre ceux-ci (TF 6B_386/2023 précité consid. 1.1.2 ; TF 6B_847/2022 du 27 avril 2023 consid. 5.2 ; TF 6B_182/2022 du 25 janvier 2023 consid. 2.1.1 ; TF 6B_366/2021 précité consid. 3.1).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5.2 ; ATF 120 IV 136 consid. 2a ; TF 6B_871/2014 du 24 août 2015 consid. 3.1 ; TF 6B_1009/2014 du 2 avril 2015 consid. 5.1.1 ; TF 6B_659/2013 du 4 novembre 2013 consid. 1.1). Selon la jurisprudence, la menace au sens de l'art. 285 ch. 1 CP correspond à la menace d'un dommage sérieux au sens de l'art. 181 CP (TF 6B_386/2023 précité consid. 1.1.3 ; TF 6B_1424/2021 du 5 octobre 2023 consid. 8.3; TF 6B_780/2021 du 16 décembre 2021 consid. 4.1 non publié in ATF 148 IV 145 ; TF 6B_1216/2019 du 28 novembre 2019 consid. 2.1). Elle doit donc, comme pour la contrainte, être suffisamment grave pour faire plier une personne raisonnable se trouvant dans la situation de l'intéressé. L'intensité requise doit être déterminée au cas par cas et selon des critères objectifs (TF 6B_1424/2021 précité consid. 8.3 ; TF 6B_1262/2021 du 23 mars 2022 consid. 2 ; TF 6B_780/2021 précité consid. 4.1).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affective, ni que l'auteur ait réellement la volonté de réaliser sa menace. Toute menace ne tombe pas sous le coup de l'art. 180</w:t>
      </w:r>
    </w:p>
    <w:p>
      <w:r>
        <w:t>- 40 - CP. La loi exige en effet que la menace soit grave. C'est le cas si elle est objectivement de nature à alarmer ou à effrayer la victime. Il convient à cet égard de tenir compte de la réaction qu'aurait une personne raisonnable face à une situation identique. Si le juge bénéficie d'un certain pouvoir d'appréciation pour déterminer si une menace est grave, il doit cependant tenir compte de l'ensemble de la situation.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Peu importe que les menaces aient été rapportées de manière indirecte à la victime. Subjectivement, l'auteur doit avoir l'intention non seulement de proférer des menaces graves, mais aussi d'alarmer ou d'effrayer le destinataire. Le dol éventuel suffit (TF 6B_617/2022 du 14 décembre 2022 consid. 2.2.1 ; TF 6B_135/2021 du 27 septembre 2021 consid. 3.1 et les réf. cit. ; TF 6B_1328/2017 du 10 avril 2018 consid. 2.1 et les réf. cit.). 5.2.2 Selon l’art. 177 al. 1 CP, quiconque, de toute autre manière, attaque autrui dans son honneur par la parole, l’écriture, l’image, le geste ou par des voies de fait, est, sur plainte, puni d’une peine pécuniaire de 90 jours-amende au plus. 5.3 A bien le comprendre, l’appelant ne conteste pas la matérialité de ses comportements ou de ses propos, mais remet en cause leur caractère intentionnel. En l’occurrence, il faut tenir compte du contexte général, tel qu’il ressort du dossier et des déclarations des intéressés, pour apprécier les agissements de l’appelant à l’égard des fonctionnaires de l’OP d’Aigle et de la plaignante M.________ en particulier. Le comportement de A.Q.________ est depuis des années sources de tracas pour ceux-ci. Il y a eu de multiples épisodes et des condamnations antérieures de l’appelant qui n’ont manifestement pas eu d’effets, tout comme la médiation</w:t>
      </w:r>
    </w:p>
    <w:p>
      <w:r>
        <w:t>- 41 - entreprise en 2018 avec l’Adj R.________ et l’engagement pris alors par l’appelant (cf. P. 6). Il en est de même s’agissant de ses incarcérations. Son comportement a toujours été inquiétant, avec une gradation, à tel point que son épouse B.Q.________ a fait part de ses craintes à l’Adj R.________ (P. 9). Ce contexte met en lumière une propension à la violence verbale et à l’impulsivité de l’appelant qui s’est renforcée au fil du temps. Il ressort du reste du rapport d’expertise du 21 avril 2022 que l’appelant rencontre des difficultés à gérer ses émotions dans les moments de stress et qu’il adopte des comportements impulsifs inadaptés sous forme d’injures et de menaces, principalement (P. 84, p. 19). Les menaces proférées par l’appelant à l’égard des collaborateurs de l’OP d’Aigle étaient clairement graves en elles-mêmes et ce ne sont pas les destinataires de celles-ci ou la police qui leur ont donné des proportions qu’elles n’auraient pas dû prendre. On rappelle qu’il a déclaré à son épouse « qu’il ne lui restait plus qu’à faire le ménage » et « qu’il passerait à l’acte », à H.________, collaboratrice de l’OP d’Aigle, qu’il allait posé une bombe dans les locaux de l’OP et a traité M.________ de « pétasse », de « salope » et de « sale pute » en laissant entendre qu’il connaissait son domicile, et à la rédaction du quotidien [...] qu’il allait prendre en otage deux employés de l’administration pour les laisser mourir de faim dans une cave. Il est évident qu’en tenant de tels propos, l’appelant ne pouvait qu’avoir conscience d’effrayer ou d’alarmer M.________, l’Adj R.________ ou la rédaction de [...], lesquelles avaient toutes les raisons de l’être. Le fait que l’appelant se soit adressé à des tiers, en l’occurrence à son épouse, à la rédaction de [...] et à H.________ (P. 7), ne modifie en rien l’appréciation qui précède, car rien ne lui permettait d’être certain que ses propos ne seraient pas relayés aux personnes visées. Bien plutôt, au vu de la violence de ceux-ci, il devait probablement escompter que tel serait le cas. Il souhaitait également qu’une publicité soit donnée à ce qu’il disait vouloir faire, dès lors qu’il s’est notamment adressé aux journalistes ainsi qu’au policier médiateur, par le biais de son épouse. Il savait en outre pertinemment que les destinataires connaissaient ses</w:t>
      </w:r>
    </w:p>
    <w:p>
      <w:r>
        <w:t>- 42 - difficultés, son dossier, ses antécédents, sa personnalité et son profil et qu’à ce titre, ils étaient susceptibles de juger ses paroles suffisamment sérieuses pour les rapporter. Par son comportement, A.Q.________ voulait obtenir des employés de l’OP d’Aigle qu’ils renoncent à encaisser les montants dû, ce qu’il n’avait pas réussi à obtenir par la voie judiciaire. Il voulait « qu’on l’écoute », en particulier s’agissant du fait qu’il ne voulait pas payer un montant qu’il estimait injuste et indu. Si ses paroles étaient objectivement alarmantes, elles ont en outre eu pour résultat d’alerter la substitut du préposé de l’OP d’Aigle et ses collègues et de retarder, voire d’empêcher, certains actes de poursuites. Pour le surplus, il y a lieu de se référer au raisonnement des premiers juges, qui ne prête pas le flanc à la critique (cf. jugement, pp. 50- 55). Ainsi, à l’instar de ceux-ci, la Cour de céans considère que les infractions de violence ou menace contre les autorités et les fonctionnaires et d’injure doivent être confirmées à l’encontre de l’appelant. 6. 6.1 L’appelant ne conteste pas la peine en tant que telle, dès lors qu’il conclut à son acquittement. Celle-ci sera toutefois examinée d’office.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w:t>
      </w:r>
    </w:p>
    <w:p>
      <w:r>
        <w:t>- 43 -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6.2.2 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w:t>
      </w:r>
    </w:p>
    <w:p>
      <w:r>
        <w:t>- 44 -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6.2.3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6.2.4 Aux termes de l’art. 42 CP,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de l'auteur. En l'absence de pronostic défavorable, il doit accorder le sursis. Celui-ci est ainsi la règle, dont le juge ne peut s'écarter qu'en présence d'un pronostic défavorable</w:t>
      </w:r>
    </w:p>
    <w:p>
      <w:r>
        <w:t>- 45 -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 6.3 L’appréciation des premiers juges est en tout point justifiée et pourra être reprise (cf. jugement pp. 65-67 ; art. 82 al. 4 CPP). Les comportements de A.Q.________ sont graves et ne peuvent en aucun cas être justifiés par ses difficultés personnelles et financières, dès lors qu’il a porté atteinte à l’honneur et à la liberté de tiers dans l’exercice de leur travail et qui sont étrangers à ses malheurs. Malgré quelques rares excuses qu’il a pu formuler par le passé (cf. protocole de médiation du 7 juin 2018, P. 6), sa prise de conscience est nulle. Pour se déresponsabiliser de ses agissements, il persiste à se positionner en victime, et en particulier vis-à-vis de l’Etat. Ses précédentes condamnations n’ont eu aucun effet dissuasif sur lui, tout comme les mesures de substitution ordonnées qu’il n’a pas respectées. Enfin, le concours d’infractions doit être retenu à charge. Comme l’ont relevé les premiers juges, la situation financière catastrophique de l’appelant, et de son épouse, est un élément à décharge, compte tenu de la détresse psychologique profonde dans laquelle elle a plongé l’appelant. Il doit en outre être tenu compte du fait que les comportements agressifs et violents de celui-ci résultent en partie de ses troubles de la personnalité, tel que l’attestent les experts (cf. P.</w:t>
      </w:r>
    </w:p>
    <w:p>
      <w:r>
        <w:t>- 46 - 84). Ceux-ci retiennent d’ailleurs une diminution légère de responsabilité, sous l’angle volitif, pour les faits dénoncés par la plaignante F.________, à moyenne pour les faits de violence ou menace envers les fonctionnaires et d’injures. Compte tenu des antécédents de l’appelant et des éléments qui précèdent, c’est donc à juste titre que le tribunal de première instance a prononcé une peine privative de liberté à son encontre. Tenant compte de la diminution de responsabilité moyenne s’agissant des faits en lien avec la plaignante F.________, les premiers juges ont infligé à l’appelant une peine privative de liberté de 5 mois pour sanctionner les infractions de lésions corporelles graves par négligence et de contrainte. Pour les infractions de violence ou menace contre les autorités et les fonctionnaires et d’injure, c’est une peine privative de liberté supplémentaire de 3 mois qui a été retenue, en prenant en compte la légère diminution de responsabilité. La peine d’ensemble de 8 mois prononcée par l’autorité inférieure est en tout point adéquate et sera confirmée. Les experts ont estimé le risque de récidive comme étant élevé, ce qui était en particulier dû au fait que l’appelant refusait de s’investir adéquatement dans le traitement de ses troubles et n’avait pas respecter pas les mesures de substitution à la détention ordonnées le 6 décembre 2021, notamment le suivi psychothéra-peutique auprès du Dr [...]. Le pronostic a dès lors été jugé défavorable par les premiers juges et la Cour de céans ne peut que faire sienne ce constat, le sursis devant ainsi être refusé. 7. L’appelant a été diagnostiqué par les experts pour un trouble de la personnalité émotionnellement labile, de type impulsif, et de dépression atypique. Se fondant sur les conclusions du rapport d’expertise (P. 84), le tribunal de première instance a considéré qu’il était indispensable pour l’appelant de reprendre son traitement psychothérapeutique ambulatoire et a prononcé une mesure à forme de</w:t>
      </w:r>
    </w:p>
    <w:p>
      <w:r>
        <w:t>- 47 - l’art. 63 CP. L’appelant n’a pas contesté cette mesure et celle-ci est en effet nécessaire, en plus d’être proportionnée. Elle sera donc confirmée. 8. Des mesures de substitution à la détention pour des motifs de sûretés ont été maintenues depuis le jugement de première instance, consistant en une obligation de se soumettre au cadre thérapeutique fixé par le Dr. [...], diabétologue, une obligation de se soumettre à la mesure de curatelle volontaire ordonnée par la Justice de paix, une interdiction formelle d’entrer en contact, de quelque façon que ce soit avec M.________ et F.________, et une obligation de chercher sans délai un nouveau psychiatre et de se soumettre au cadre thérapeutique que celui-ci fixera. Ces mesures sont nécessaires et doivent être maintenues. Enfin, les mesures de substitution ordonnées par les juges de première instance étant peu contraignantes et surtout pas respectées, il n'y a pas lieu de déduire de la peine des jours supplémentaires de détention pour les quelques rendez-vous médicaux éventuellement respectés entre le jugement de première instance et l'audience d'appel.</w:t>
      </w:r>
    </w:p>
    <w:p>
      <w:r>
        <w:rPr>
          <w:b/>
        </w:rPr>
        <w:t>E. 9.1</w:t>
      </w:r>
    </w:p>
    <w:p>
      <w:r>
        <w:t>En lien avec les frais de première instance, l’appelant réclame le versement d’une indemnité pour ses dépenses obligatoires, dans la mesure où il a fait l’objet, déjà en première instance, d’une libération des chefs d’accusation de lésions corporelles graves et de lésions corporelles simples et qu’une ordonnance de classement a été rendue en sa faveur en cours de procédure pour l’infraction de violence ou menace contre les autorités ou les fonctionnaires.</w:t>
      </w:r>
    </w:p>
    <w:p>
      <w:r>
        <w:rPr>
          <w:b/>
        </w:rPr>
        <w:t>E. 9.2</w:t>
      </w:r>
    </w:p>
    <w:p>
      <w:r>
        <w:t>L’appelant évoque l’ordonnance de classement rendue le 29 novembre 2022. Il lui était reproché d’avoir, le 22 mai 2018, sur son lieu de travail, démarré son véhicule en trombe et quitté les lieux, obligeant des collaborateurs de l’OP d’Aigle venus exécuter une saisie à se déplacer afin de ne pas être heurtés. L’enquête, et en particulier le visionnage d’une vidéosurveillance, a permis d’établir que l’appelant était en réalité passé avec son véhicule au plus près à 1.5 mètres des personnes</w:t>
      </w:r>
    </w:p>
    <w:p>
      <w:r>
        <w:t>- 48 - présentes, excluant tout comportement menaçant de sa part. A défaut de comportement pénalement caractérisé, A.Q.________ a été mis au bénéfice d’une ordonnance de classement pour ces faits. L’ordonnance mentionne que, rendu attentif dans le cadre de l’avis de prochaine clôture d’enquête au contenu de l’art. 429 CPP, soit à la possibilité de faire valoir une indemnité au sens de cette disposition, l’appelant, par son conseil, ne s’est pas exprimé. Dès lors, aucune indemnité n’a été allouée. Par ailleurs, les frais de procédure liés à l’ordonnance ont été laissés à la charge de l’Etat. Enfin, si l’appelant a effectivement été libéré de certaines infractions, c’est oublier qu’il a été condamné pour lésions corporelles graves par négligence, injure, contrainte et violence ou menace contre les autorités ou les fonctionnaires. L’indemnité requise par l’appelant est ainsi infondée et doit être rejetée.</w:t>
      </w:r>
    </w:p>
    <w:p>
      <w:r>
        <w:rPr>
          <w:b/>
        </w:rPr>
        <w:t>E. 10</w:t>
      </w:r>
    </w:p>
    <w:p>
      <w:r>
        <w:t>En définitive, l’appel et l’appel joint doivent être rejetés et le jugement intégralement confirmé. Me Mathias Micsiz, conseil d’office de la plaignante F.________, a produit une liste d’opérations (P. 206) dans laquelle il a annoncé avoir consacré 8h54 au mandat. Il n’y a pas lieu de s’écarter de cette liste, sauf à ajouter un temps de 2h05 au 45 minutes annoncées pour l’audience d’appel, celle-ci ayant duré 2h50. Au tarif horaire de 180 fr., l’indemnité de défenseur d'office qui doit être allouée pour la procédure d'appel s’élève à 2'305 fr. 30, soit des honoraires de 1’977 fr., auxquels s’ajoutent les débours forfaitaires de 2 %, par 39 fr. 55, une vacation à 120 fr. et la TVA sur le tout, par 168 fr. 75. Vu l’issue de la cause, les frais d’appel, par 4’330 fr., constitués en l’espèce des émoluments de jugement et d’audience (art. 21 al. 1 et 2 TFIP [tarif des frais de procédure et indemnités en matière pénale du 28 septembre 2010 ; BLV 312.03.1]), seront mis par moitié à la charge de F.________, soit 2'165 fr., et par moitié à la charge de</w:t>
      </w:r>
    </w:p>
    <w:p>
      <w:r>
        <w:t>- 49 - A.Q.________, soit 2'165 fr., étant précisé que ce dernier assumera l’indemnité de conseil d’office de la première nommée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