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PE21.012606 vom 8. Dezember 2021</w:t>
      </w:r>
    </w:p>
    <w:p>
      <w:r>
        <w:t>VD Tribunal cantonal, 2021-12-08, FR</w:t>
      </w:r>
    </w:p>
    <w:p>
      <w:r>
        <w:rPr>
          <w:b/>
        </w:rPr>
        <w:t xml:space="preserve">Quelle: </w:t>
      </w:r>
      <w:r>
        <w:t>https://mcp.opencaselaw.ch/entscheid/vd_gerichte_PE21.012606</w:t>
      </w:r>
    </w:p>
    <w:p>
      <w:r>
        <w:t>FR: VD_GERICHTE PE21.012606 du 8 décembre 2021</w:t>
      </w:r>
    </w:p>
    <w:p>
      <w:r>
        <w:t>IT: VD_GERICHTE PE21.012606 del 8 dicembre 2021</w:t>
      </w:r>
    </w:p>
    <w:p>
      <w:pPr>
        <w:pStyle w:val="Heading2"/>
      </w:pPr>
      <w:r>
        <w:t>Erwägungen</w:t>
      </w:r>
    </w:p>
    <w:p>
      <w:r>
        <w:rPr>
          <w:b/>
        </w:rPr>
        <w:t>E. 1</w:t>
      </w:r>
    </w:p>
    <w:p>
      <w:r>
        <w:t>CPP), le recours est recevable.</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art. 80 LOJV [Loi d’organisation judiciaire du 12 décembre 1979; BLV 173.01]).</w:t>
      </w:r>
    </w:p>
    <w:p>
      <w:r>
        <w:t>- 6 -</w:t>
      </w:r>
    </w:p>
    <w:p>
      <w:r>
        <w:rPr>
          <w:b/>
        </w:rPr>
        <w:t>E. 1.2</w:t>
      </w:r>
    </w:p>
    <w:p>
      <w:r>
        <w:t>En l’espèce, déposé en temps utile devant l’autorité compétente par la partie plaignante qui a qualité pour recourir (art. 382 al.</w:t>
      </w:r>
    </w:p>
    <w:p>
      <w:r>
        <w:rPr>
          <w:b/>
        </w:rPr>
        <w:t>E. 2</w:t>
      </w:r>
    </w:p>
    <w:p>
      <w:r>
        <w:t>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w:t>
      </w:r>
    </w:p>
    <w:p>
      <w:r>
        <w:t>- 7 - 6B_375/2020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w:t>
      </w:r>
    </w:p>
    <w:p>
      <w:r>
        <w:t>; ATF 132 IV 20 consid. 4.1 et les références citées ; TF 6B_854/2020 du 19 janvier 2021 consid. 1.1).</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2.2.2</w:t>
      </w:r>
    </w:p>
    <w:p>
      <w:r>
        <w:t>Aux termes de l’art. 31 CP, le droit de porter plainte se prescrit par trois mois. Le point de départ du délai de plainte est le jour où le lésé a connaissance non seulement de l’auteur de l’infraction mais aussi de l’infraction elle-même. Les éléments constitutifs objectifs et subjectifs de cette dernière doivent être connus (Dupuis et al. [éd.], Petit commentaire, Code pénal, 2e éd., Bâle 2017, n. 4 ad art. 31 CP).</w:t>
      </w:r>
    </w:p>
    <w:p>
      <w:r>
        <w:rPr>
          <w:b/>
        </w:rPr>
        <w:t>E. 2.2.3</w:t>
      </w:r>
    </w:p>
    <w:p>
      <w:r>
        <w:t>L'infraction de dénonciation calomnieuse réprime le comportement de celui qui aura dénoncé à l'autorité, comme auteur d'un crime ou d'un délit, une personne qu'il savait innocente, en vue de faire ouvrir contre elle une poursuite pénale ainsi que le comportement de celui qui, de toute autre manière, aura ourdi des machinations astucieuses en vue de provoquer l'ouverture d'une poursuite pénale contre une personne qu'il savait innocente (art. 303 ch. 1 al. 1 et 2 CP). Cette norme pénale tend à protéger non seulement l'administration de la justice, mais également la personne qui est accusée faussement (ATF 132 IV 20 consid. 4.1 ; ATF 115 IV 1 consid. 2b), dans</w:t>
      </w:r>
    </w:p>
    <w:p>
      <w:r>
        <w:t>- 8 - divers biens juridiquement protégés, tels l'honneur, le patrimoine et la liberté, la sphère privée ou l'intégrité psychique (ATF 136 IV 170 consid.</w:t>
      </w:r>
    </w:p>
    <w:p>
      <w:r>
        <w:rPr>
          <w:b/>
        </w:rPr>
        <w:t>E. 2.3</w:t>
      </w:r>
    </w:p>
    <w:p>
      <w:r>
        <w:t>En l’espèce, la recourante affirme avoir respecté le délai prévu par l’art. 31 CP en faisant valoir qu’elle a déposé sa plainte dans les trois mois qui ont suivi la reddition de l’arrêt du Tribunal fédéral du 14 avril 2021. Elle perd toutefois de vue que le point de départ du délai est le jour où le lésé a connaissance non seulement de l’auteur de l’infraction mais aussi de l’infraction elle-même. Or, la recourante a eu connaissance des faits allégués le 15 février 2020 par Me B.________ dans son rapport à la Justice de paix depuis lors et non depuis l’arrêt du Tribunal fédéral du 14 avril 2021, qui déclare irrecevable son recours contre l’arrêt de la Chambre des curatelles du 7 septembre 2020. Il s’ensuit que c’est à juste titre que le Ministère public a refusé d’entrer en matière sur la plainte en tant qu’elle porte sur les infractions de calomnie et de diffamation. S’agissant de l’infraction de dénonciation calomnieuse, qui se poursuit d’office, elle n’est manifestement pas réalisée. En effet, le fait pour une curatrice ad hoc de représentation d’un enfant de mentionner dans un rapport les affirmations d’un médecin ne saurait être constitutif de cette infraction. Dans le rapport qu’il a établi le 12 mai 2020 à l’attention de la Justice de paix, le Dr F.________ a par ailleurs indiqué ce qui suit : « il n’est pas exact que j’aurais diagnostiqué Mme A.N.________ comme pouvant commettre un suicide collectif, affirmation qui est largement excessive. De plus, n’étant pas le thérapeute de Mme A.N.________, il n’est pas de mon rôle de poser un diagnostic la concernant. Lors de l’échange téléphonique avec la curatrice d’B.N.________, Maître B.________, en date du 16 janvier 2020, j’ai effectivement dit que je ne pouvais pas exclure la possibilité d’un acte auto- ou hétéro-agressif de type suicide, étant donné la structure de pensée de la patiente et sa grande difficulté à voir une autre réalité que la sienne concernant ses affirmations sur la nocivité du père pour B.N.________, malgré des efforts soutenus de ma part pour nuancer cette vision ». Ce médecin dit ensuite</w:t>
      </w:r>
    </w:p>
    <w:p>
      <w:r>
        <w:t>- 9 - ne pas avoir fait part de son inquiétude au Service de protection de la jeunesse mais seulement à Me B.________ et avoir été par la suite rassuré par la psychologue et le psychiatre de la recourante. Me B.________ n’a donc fait que rapporter les préoccupations d’un professionnel à la Justice de paix. Dans ces circonstances et même si les termes utilisés par Me B.________ ont ensuite paru trop alarmistes, rien ne permet d’imputer à celle-ci une volonté délictueuse et de retenir qu’elle aurait eu l’intention de provoquer l’ouverture d’une poursuite pénale contre la recourante.</w:t>
      </w:r>
    </w:p>
    <w:p>
      <w:r>
        <w:rPr>
          <w:b/>
        </w:rPr>
        <w:t>E. 3</w:t>
      </w:r>
    </w:p>
    <w:p>
      <w:r>
        <w:t>Il résulte de ce qui précède que le recours, manifestement mal fondé, doit être rejeté, sans échange d’écritures (art. 390 al. 2 CPP), et l’ordonnance entreprise confirmée. La requête tendant à l’octroi de l’assistance judiciaire gratuite et à la désignation d’un conseil juridique gratuit pour la procédure de recours doit être rejetée dès lors que le recours était d’emblée dénué de toute chance de succès (art. 136 al. 1 let. b CPP ; CREP 8 mai 2020/346 consid. 6 et les références citées). Les frais de la procédure de recours, constitués du seul émolument d’arrêt, par 990 fr. (art. 20 al. 1 TFIP [Tarif des frais de procédure et indemnités en matière pénale du 28 septembre 2010 ; BLV 312.03.1]), seront exceptionnellement laissés à la charge de l’Etat, compte tenu des circonstances (art. 423 CPP).</w:t>
      </w:r>
    </w:p>
    <w:p>
      <w:r>
        <w:t>- 10 - Par ces motifs, la Chambre des recours pénale prononce : I. Le recours est rejeté. II. L’ordonnance du 15 septembre 2021 est confirmée. III. La requête d’assistance judiciaire est rejetée. IV. Les frais d’arrêt, par 990 fr. (neuf cent nonante francs), sont laissés à la charge de l’Etat. V. L’arrêt est exécutoire. Le président : La greffière : Du Le présent arrêt, dont la rédaction a été approuvée à huis clos, est notifié, par l'envoi d'une copie complète, à : - Mme A.N.________, - Ministère public central, et communiqué à : - Mme la Procureure du Ministère public central, division affaires spéciales,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