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PE21.012586 vom 27. Februar 2024</w:t>
      </w:r>
    </w:p>
    <w:p>
      <w:r>
        <w:t>VD Tribunal cantonal, 2024-02-27, FR</w:t>
      </w:r>
    </w:p>
    <w:p>
      <w:r>
        <w:rPr>
          <w:b/>
        </w:rPr>
        <w:t xml:space="preserve">Quelle: </w:t>
      </w:r>
      <w:r>
        <w:t>https://mcp.opencaselaw.ch/entscheid/vd_gerichte_PE21.012586</w:t>
      </w:r>
    </w:p>
    <w:p>
      <w:r>
        <w:t>FR: VD_GERICHTE PE21.012586 du 27 février 2024</w:t>
      </w:r>
    </w:p>
    <w:p>
      <w:r>
        <w:t>IT: VD_GERICHTE PE21.012586 del 27 febbraio 2024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Le rejet de l’appel exclut toute indemnité selon l’art. 429 al. 1 let. a CPP à raison de la procédure d’appel.</w:t>
      </w:r>
    </w:p>
    <w:p>
      <w:r>
        <w:rPr>
          <w:b/>
        </w:rPr>
        <w:t>E. 5</w:t>
      </w:r>
    </w:p>
    <w:p>
      <w:r>
        <w:t>Vu l’issue de l’appel, l’émolument d’appel, par 770 fr. (art. 21 al. 1 et 2 TFIP), sera mis à la charge de l’appelant, qui succombe (art. 428 al. 1 CPP).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