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PE21.012533 vom 27. September 2023</w:t>
      </w:r>
    </w:p>
    <w:p>
      <w:r>
        <w:t>VD Tribunal cantonal, 2023-09-27, FR</w:t>
      </w:r>
    </w:p>
    <w:p>
      <w:r>
        <w:rPr>
          <w:b/>
        </w:rPr>
        <w:t xml:space="preserve">Quelle: </w:t>
      </w:r>
      <w:r>
        <w:t>https://mcp.opencaselaw.ch/entscheid/vd_gerichte_PE21.012533</w:t>
      </w:r>
    </w:p>
    <w:p>
      <w:r>
        <w:t>FR: VD_GERICHTE PE21.012533 du 27 septembre 2023</w:t>
      </w:r>
    </w:p>
    <w:p>
      <w:r>
        <w:t>IT: VD_GERICHTE PE21.012533 del 27 settembre 2023</w:t>
      </w:r>
    </w:p>
    <w:p>
      <w:pPr>
        <w:pStyle w:val="Heading2"/>
      </w:pPr>
      <w:r>
        <w:t>Erwägungen</w:t>
      </w:r>
    </w:p>
    <w:p>
      <w:r>
        <w:rPr>
          <w:b/>
        </w:rPr>
        <w:t>E. 3.1</w:t>
      </w:r>
    </w:p>
    <w:p>
      <w:r>
        <w:t>La recourante soutient que l’élément de l’astuce de l’infraction d’escroquerie est réalisé. Elle invoque que les prévenues lui ont vendu des machines que ne sont que de vulgaires copies ne présentant pas toutes les qualités auxquelles elle pouvait raisonnablement s’attendre et n’offrant aucune garantie de sécurité, ce qui était dangereux pour la santé de la clientèle. Elle ne reproche pas seulement aux prévenues d’avoir astucieusement caché ou tu les défauts présents sur les machines, mais aussi de l’avoir sciemment et intentionnellement convaincue de passer contrat avec elles sur la foi d’une présentation fondamentalement fausse et mensongère des machines vendues.</w:t>
      </w:r>
    </w:p>
    <w:p>
      <w:r>
        <w:rPr>
          <w:b/>
        </w:rPr>
        <w:t>E. 3.2</w:t>
      </w:r>
    </w:p>
    <w:p>
      <w:r>
        <w:t>; ATF 142 IV 153 consid. 2.2.2 ; ATF 135 IV 76 consid. 5.2 ; TF 6B_653/2021 précité consid. 1.3.1).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653/2021 précité consid. 1.3.1). En outre, le Tribunal fédéral a précisé que, pour que le crime d’escroquerie soit réalisé, il fallait que le désavantage patrimonial constituant le dommage corresponde à l’avantage patrimonial constituant l’enrichissement (principe de l’identité matérielle ; ATF 134 IV 210 consid. 5.3).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6B_1185/2022 du 30 juin 2023 consid. 3.1.4 ; TF 6B_645/2021 et 6B_646/2021 du 28 mars 2022 consid. 3.1).</w:t>
      </w:r>
    </w:p>
    <w:p>
      <w:r>
        <w:rPr>
          <w:b/>
        </w:rPr>
        <w:t>E. 3.3.1</w:t>
      </w:r>
    </w:p>
    <w:p>
      <w:r>
        <w:t>La recourante soutient que B.________ lui a faussement indiqué que les machines provenaient d’Allemagne, dans le sens où elles y étaient fabriquées, alors qu’elles provenaient en réalité de Chine.</w:t>
      </w:r>
    </w:p>
    <w:p>
      <w:r>
        <w:t>- 8 - Selon les messages Facebook, à la question de la recourante : « Et d’où proviennent ces machines svp ? », C.________ a effectivement répondu : « Les machines viennent d’Allemagne » (P. 4, p. 2). C’est au moment de la livraison que B.________ a collé sur les machines l’étiquette de conformité CE avec l’inscription « Made in China » (P. 10). Confrontée par l’enquêteur à cet état de fait, B.________ ne s’est pas expliquée et s’est bornée répéter ce qu’elle venait de dire à l’enquêteur, à savoir que les machines étaient fabriquées en Chine et qu’elle les avait commandées sur le site internet allemand de la société [...] (PV aud. 2, R. 15). La recourante pouvait donc raisonnablement penser que les machines étaient fabriquées en Allemagne. Toutefois, comme on le verra ci-dessous, cette seule affirmation inexacte n’entre pas dans la notion d’édifice de mensonges constitutifs de tromperie astucieuse.</w:t>
      </w:r>
    </w:p>
    <w:p>
      <w:r>
        <w:rPr>
          <w:b/>
        </w:rPr>
        <w:t>E. 3.3.2</w:t>
      </w:r>
    </w:p>
    <w:p>
      <w:r>
        <w:t>La recourante soutient qu’un climat certain de confiance a été instauré et alimenté par les prévenues, la dissuadant d’effectuer d’autres ou de amples recherches quant à ses contractantes et à la qualité des machines qui seraient livrées. Il ressort au contraire des messages Facebook échangés avec C.________ que la recourante a négocié assez âprement. Elle a posé beaucoup de questions, auxquelles il a été répondu. C.________ lui a fait une première offre pour une machine laser de détatouage à 3'000 fr. et une machine laser d’épilation 800W à 4'800 fr. ou 1200W à 5'800 fr. (P. 4, p. 2) ; ensuite, c’est la recourante qui a demandé une offre pour un montant de 10'000 fr., qui devait inclure une machine laser de détatouage, une machine laser d’épilation et une machine de cryolipolyse ; C.________ lui a ainsi fait une autre offre avec des machines entrant dans cette gamme de prix (P. 4, pp. 4-5) ; la recourante a ensuite accepté cette offre en demandant sur quel compte elle pouvait faire le versement (P. 4, p. 7). L’enchaînement des messages n’indique toutefois qu’une négociation entre une vendeuse et une acheteuse. De plus, les intéressées ne se connaissaient pas avant la négociation. Il n’existait donc aucun rapport de confiance particulier entre les parties ayant dissuadé la recourante de vérifier les offres qui lui étaient faites.</w:t>
      </w:r>
    </w:p>
    <w:p>
      <w:r>
        <w:t>- 9 -</w:t>
      </w:r>
    </w:p>
    <w:p>
      <w:r>
        <w:rPr>
          <w:b/>
        </w:rPr>
        <w:t>E. 3.3.3</w:t>
      </w:r>
    </w:p>
    <w:p>
      <w:r>
        <w:t>Après que l’offre pour le montant de 10'000 fr. lui avait été faite, la recourante a encore demandé quelles étaient les marques des machines (P. 4, p. 7) ; C.________ lui a répondu que, pour ce prix, il s’agissait de machines sortant de l’usine, sans passer par une marque, qu’il n’y avait pas d’enregistrement de nom et que les machines ne possédaient qu’un certificat de conformité CE pour pouvoir entrer et être utilisées en Suisse ; elle a ajouté qu’une machine laser 1200W avec une marque de magasin suisse coûtait entre 12'000 et 17'000 fr. et qu’une machine laser 800W avec une marque de magasin suisse coûtait 7'000 fr. ; ensuite, à la question : « Vous comprenez ? », la recourante a répondu : « Ok, donnez-moi vos coordonnées svp pour le versement que je ferai par poste » (P. 4, p. 7). La recourante savait donc en toute connaissance de cause que les machines qu’elle achetait pouvaient être très bas de gamme puisque leur prix était notablement inférieur à celui du marché de marque. Elle ne saurait donc se plaindre de n’avoir acheté que de vulgaires copies comme elle les dénomme. Il n’y a donc aucune tromperie astucieuse concernant les machines vendues. Le fait que la recourante pensait que les machines étaient fabriquées en Allemagne n’est en outre pas décisif. En effet, pour un prix aussi inférieur à celui du marché de marque, la recourante ne pouvait que se douter que les machines n’étaient pas fabriquées en Allemagne. On ne se trouve pas en présence d'un édifice de mensonges qui ne pouvait être découvert qu'au prix d'efforts particuliers, dès lors qu’une simple recherche internet permettait de connaître les prix des machines fabriquées en Allemagne et en Chine. La recourante n’a donc pas procédé aux vérifications élémentaires que l’on pouvait attendre d’elle. Du reste, comme elle le dit elle-même dans sa plainte, son enseignant de cours laser lui a dit qu’une machine laser pouvait coûter 100'000 francs. Enfin, la recourante ne prétend pas qu’elle n’aurait jamais acheté les machines si elle avait su qu’elles étaient fabriquées en Chine. Dans ces conditions, il n’y a aucune tromperie astucieuse de la part des prévenues s’agissant de l’origine des machines.</w:t>
      </w:r>
    </w:p>
    <w:p>
      <w:r>
        <w:t>- 10 -</w:t>
      </w:r>
    </w:p>
    <w:p>
      <w:r>
        <w:rPr>
          <w:b/>
        </w:rPr>
        <w:t>E. 3.3.4</w:t>
      </w:r>
    </w:p>
    <w:p>
      <w:r>
        <w:t>La recourante invoque que la question fondamentale de la qualité et du fonctionnement des machines ainsi que leur potentielle dangerosité n’a pas été résolue. Elle sollicite la mise en œuvre d’une expertise technique des machines. En substance, la recourante soutient que les machines n’auraient pas donné les résultats escomptés et auraient provoqué des brûlures sur son compagnon et sur une cliente, dont l’identité n’a pas été dévoilée. Pour sa part, C.________ soutient que la recourante et son compagnon auraient utilisé le laser détatouage à plusieurs reprises sur plusieurs jours alors qu’il fallait attendre entre 30 et 40 jours entre deux traitements (PV aud. 1, R. 9). Peu importe cependant. En effet, la question de savoir si les machines présentaient des défauts est une question de droit civil qu’il n’est pas nécessaire de trancher dans le cadre d’une procédure pénale. La requête de la recourante doit par conséquent être rejetée.</w:t>
      </w:r>
    </w:p>
    <w:p>
      <w:r>
        <w:rPr>
          <w:b/>
        </w:rPr>
        <w:t>E. 3.3.5</w:t>
      </w:r>
    </w:p>
    <w:p>
      <w:r>
        <w:t>En définitive, la condition de la tromperie astucieuse n’étant pas réalisée, c’est à juste titre que le Ministère public a ordonné le classement de la procédure dirigée contre B.________ et C.________ pour escroquerie. Au surplus, il faut constater que la recourante ne développe d’arguments qu’en lien avec les conditions objectives de l’infraction d’escroquerie, sans contester la constatation du Ministère public selon laquelle les prévenues n’avaient pas l’intention de la tromper, d’une part, ou de s’enrichir, d’autre part, en égard notamment au fait – non contesté par la recourante – que B.________ lui a proposé à plusieurs reprises de reprendre les machines et de lui rembourser le prix. Ainsi, dans la mesure où la recourante n’a pas invoqué la constatation erronée des faits au sens de l’art. 393 al. 2 let. b CPP en relation avec la conclusion de l’ordonnance attaquée selon laquelle les éléments constitutifs subjectifs de l’infraction d’escroquerie faisaient défaut, il faut retenir que les prévenues n’ont pas eu l’intention de commettre cette infraction ni n’ont agi dans le dessein d’enrichissement. De toute manière, on voit mal comment un dessein</w:t>
      </w:r>
    </w:p>
    <w:p>
      <w:r>
        <w:t>- 11 - d’enrichissement pourrait être retenu au vu des circonstances, et en particulier de la proposition, réitérée, de B.________ de reprendre les machines et de rembourser le prix. Le prix payé constituant l’éventuel enrichissement et, selon le principe de l’identité matérielle exposé ci- dessus (cf. consid. 3.2), l’éventuel préjudice causé aux intérêts pécuniaires de la prétendue victime, cette proposition permet de conclure que les prévenues étaient de bonne foi et n’ont pas agi dans le dessein de s’enrichir. A cet égard, la probabilité d’une condamnation apparaît nulle, voire infime.</w:t>
      </w:r>
    </w:p>
    <w:p>
      <w:r>
        <w:rPr>
          <w:b/>
        </w:rPr>
        <w:t>E. 4</w:t>
      </w:r>
    </w:p>
    <w:p>
      <w:r>
        <w:t>Il résulte de ce qui précède que le recours doit être rejeté et l’ordonnance entreprise confirmée.</w:t>
      </w:r>
    </w:p>
    <w:p>
      <w:r>
        <w:rPr>
          <w:b/>
        </w:rPr>
        <w:t>E. 5</w:t>
      </w:r>
    </w:p>
    <w:p>
      <w:r>
        <w:t>Me Raphaël Brochellaz, conseil juridique gratuit de X.________, a droit à une indemnité pour la procédure de recours. Au vu du travail accompli, il sera retenu 4 h 30 d'activité nécessaire au tarif horaire de 110 fr. pour l’avocat-stagiaire et une heure de supervision au tarif horaire de 180 fr. (art. 2 al. 1 let. a et b et 3 al. 2 RAJ [règlement sur l'assistance judiciaire en matière civile du 7 décembre 2010 ; BLV 211.02.3] par renvoi de l'art. 26b TFIP [tarif des frais de procédure et indemnités en matière pénale du 28 septembre 2010 ; BLV 312.03.1]), soit un émolument de 675 francs. Il faut y ajouter 2 % pour les débours (art. 3bis al. 1 RAJ par renvoi de l'art. 26b TFIP), soit 13 fr.50, et 7,7 % de TVA sur le tout, soit 53 fr., de sorte que l'indemnité totale s'élève à 742 fr. en chiffre ronds. B.________, qui a procédé avec l’assistance d’un avocat de choix, a droit à une indemnité pour les dépenses occasionnées par la procédure de recours. Cette indemnité sera fixée à 1'050 fr., sur la base de 3 h 30 d’activité nécessaire d’avocat au tarif horaire de 300 fr. (art. 26a al. 3 TFIP), à laquelle s’ajoutent 2 % pour les débours (art. 19 al. 2 TDC [tarif des dépens en matière civile du 23 novembre 2010 ; BLV 270.11.6] par renvoi de l'art. 26a al. 6 TFIP), soit 21 fr., et 7,7 % de TVA sur le tout, soit 82 fr. 45, ce qui correspond à la somme totale de 1'154 fr. en chiffres ronds.</w:t>
      </w:r>
    </w:p>
    <w:p>
      <w:r>
        <w:t>- 12 - C.________, qui a procédé avec l’assistance d’un avocat de choix, a droit à une indemnité pour les dépenses occasionnées par la procédure de recours. Cette indemnité sera fixée à 600 fr., sur la base de 2 h d’activité nécessaire d’avocat au tarif horaire de 300 fr., à laquelle s’ajoutent 2 % pour les débours, soit 12 fr., et 7,7 % de TVA sur le tout, soit 47 fr. 10, ce qui correspond à la somme totale de 660 fr. en chiffres ronds. Les indemnités allouées aux prévenues seront laissées à la charge de l’Etat (ATF 147 IV 47 consid. 4.2). Vu le sort du recours, les frais d’arrêt, fixés à 1'320 fr. (art. 20 al. 1 TFIP), et l'indemnité allouée au conseil juridique gratuit, par 742 fr., seront mis à la charge de X.________, qui succombe (art. 428 al. 1 CPP), mais provisoirement laissés à la charge de l’Etat (ATF 143 IV 154 consid. 2.3.5, JdT 2017 IV 347). X.________ sera tenue de rembourser ces frais à l’Etat dès que sa situation financière le permettra (art. 135 al. 4 let. a CPP, par renvoi de l’art. 138 al. 1 CPP). Par ces motifs, la Chambre des recours pénale prononce : I. Le recours est rejeté. II. L’ordonnance du 29 mars 2023 est confirmée. III. L'indemnité allouée à Me Raphaël Brochellaz, conseil juridique gratuit de X.________, est fixée à 742 fr. (sept cent quarante- deux francs). IV. Une indemnité de 1'154 fr. (mille cent cinquante-quatre francs) est allouée à B.________ pour la procédure de recours, à la charge de l’Etat.</w:t>
      </w:r>
    </w:p>
    <w:p>
      <w:r>
        <w:t>- 13 - V. Une indemnité de 660 fr. (six cent soixante francs) est allouée à C.________ pour la procédure de recours, à la charge de l’Etat. VI. Les frais d’arrêt, par 1'320 fr. (mille trois cent vingt francs), ainsi que l’indemnité allouée au conseil juridique gratuit, par 742 fr. (sept cent quarante-deux francs), sont mis à la charge de X.________, mais provisoirement laissés à la charge de l’Etat. VII. Le remboursement à l’Etat de l’indemnité et des frais fixés sous chiffres III et VI ci-dessus ne sera exigible de X.________ que pour autant que sa situation financière le permette. VIII. L’arrêt est exécutoire. La présidente : La greffière : Du Le présent arrêt, dont la rédaction a été approuvée à huis clos, est notifié, par l'envoi d'une copie complète, à : - Me Raphaël Brochellaz, avocat (pour X.________), - Me Fabian Williner, avocat (pour B.________), - Me Michel de Palma, avocat (pour C.________),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w:t>
      </w:r>
    </w:p>
    <w:p>
      <w:r>
        <w:t>- 14 -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