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PE21.012444 vom 13. Oktober 2022</w:t>
      </w:r>
    </w:p>
    <w:p>
      <w:r>
        <w:t>VD Tribunal cantonal, 2022-10-13, FR</w:t>
      </w:r>
    </w:p>
    <w:p>
      <w:r>
        <w:rPr>
          <w:b/>
        </w:rPr>
        <w:t xml:space="preserve">Quelle: </w:t>
      </w:r>
      <w:r>
        <w:t>https://mcp.opencaselaw.ch/entscheid/vd_gerichte_PE21.012444</w:t>
      </w:r>
    </w:p>
    <w:p>
      <w:r>
        <w:t>FR: VD_GERICHTE PE21.012444 du 13 octobre 2022</w:t>
      </w:r>
    </w:p>
    <w:p>
      <w:r>
        <w:t>IT: VD_GERICHTE PE21.012444 del 13 ottobre 2022</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2.1</w:t>
      </w:r>
    </w:p>
    <w:p>
      <w:r>
        <w:t>A [...], Place [...], le 14 janvier 2020, entre 14h35 et 16h47, sans avoir obtenu d'autorisation préalable, une vingtaine de manifestants, au nombre desquels figurait R.________, ont pénétré dans les locaux de la succursale d'E.________. Ils ont alors déversé du charbon dans le hall</w:t>
      </w:r>
    </w:p>
    <w:p>
      <w:r>
        <w:t>- 5 - central et se sont assis par terre de sorte à bloquer l'accès des clients aux guichets, pendant qu'une dizaine d'autres manifestants, restée devant l'entrée de l'établissement, avaient renversé du charbon sur le seuil de celui-ci et brandissaient des banderoles pour attirer l'attention des passants sur leur action. Le responsable de la succursale a demandé aux manifestants qui se trouvaient dans les locaux de quitter les lieux, ce qu'ils ont refusé de faire. Un ultimatum leur a été fixé à 16h00. Les manifestants refusant toujours de quitter les lieux passé cette heure, ils ont été formellement identifiés par la police. Ce n'est finalement qu'à 16h47 que les manifestants ont quitté les lieux de leur propre chef, en laissant toutefois le charbon sur place. La poussière de charbon s'est infiltrée dans le sol, ce qui a nécessité d'importants travaux de nettoyage. E.________, par son représentant [...], a déposé plainte le 14 janvier 2020 sans toutefois prendre de conclusions civiles.</w:t>
      </w:r>
    </w:p>
    <w:p>
      <w:r>
        <w:rPr>
          <w:b/>
        </w:rPr>
        <w:t>E. 2.2</w:t>
      </w:r>
    </w:p>
    <w:p>
      <w:r>
        <w:t>A [...], le 12 avril 2021, vers 17h00, R.________ a arraché l'étoile de capot qui se trouvait sur le véhicule de marque Mercedes-Benz appartenant à [...]. [...] a porté plainte le 12 avril 2021 et s'est constitué partie plaignante demanderesse au pénal et au civil, sans toutefois chiffrer ses prétentions.</w:t>
      </w:r>
    </w:p>
    <w:p>
      <w:r>
        <w:rPr>
          <w:b/>
        </w:rPr>
        <w:t>E. 2.3</w:t>
      </w:r>
    </w:p>
    <w:p>
      <w:r>
        <w:t>; Mizel/Rétomaz, Commentaire romand, Code de procédure pénale suisse, 2e éd., Bâle 2019, n. 2 ad art. 426 CPP). Quoi qu'il en soit, selon une jurisprudence bien établie, la question de l'indemnisation (art. 429 à 434 CPP) doit être traitée après celle des frais (art. 423 à 428 CPP). Dans cette mesure, la décision sur les frais préjuge de la question de l'indemnisation (cf. ATF 144 IV 207 consid. 1.8.2 ; ATF 137 IV 352 consid.</w:t>
      </w:r>
    </w:p>
    <w:p>
      <w:r>
        <w:rPr>
          <w:b/>
        </w:rPr>
        <w:t>E. 2.4</w:t>
      </w:r>
    </w:p>
    <w:p>
      <w:r>
        <w:t>A [...], le 20 juin 2020 entre 12h00 et 13h45, environ 350 personnes, dont R.________, se sont réunies dans le cadre d'une manifestation non autorisée et ont bloqué la rue avec des affiches, si bien que la circulation privée et celle des transports publics ont dû être déviées par la police. Sous la menace d'un contrôle de police et de poursuites pénales, une centaine de personnes a quitté les lieux. Lorsque le contrôle de police a commencé, les manifestants ont formé un cordon, obligeant la police à recourir à la force pour procéder aux premiers contrôles, poussant les participants à finalement obtempérer. R.________ s'est ainsi laissé contrôler et a été déféré.</w:t>
      </w:r>
    </w:p>
    <w:p>
      <w:r>
        <w:rPr>
          <w:b/>
        </w:rPr>
        <w:t>E. 2.4.2</w:t>
      </w:r>
    </w:p>
    <w:p>
      <w:r>
        <w:t>; TF 6B_248/2019 du 29 mars 2019 consid. 2.1.1 et les références citées).</w:t>
      </w:r>
    </w:p>
    <w:p>
      <w:r>
        <w:rPr>
          <w:b/>
        </w:rPr>
        <w:t>E. 2.5</w:t>
      </w:r>
    </w:p>
    <w:p>
      <w:r>
        <w:t>A [...], Place [...], le 23 septembre 2020 entre 4h30 et 8h46, environ 500 personnes, dont R.________, se sont réunies dans le cadre d'une manifestation pour le climat non autorisée et ont occupé la place avec différents matériaux dont notamment des tracteurs, des balles de foin et des tentes. Ils ont verrouillé la place avec un bandeau de sécurité et la plupart des participants étaient enchainés les uns aux autres ou à des barrières, ce qui était notamment le cas de R.________. La Police, via les mégaphones installés sur la place, a averti les manifestants du fait qu'ils n'étaient pas en droit de manifester sur cette place et qu'ils devaient la quitter dans les 5 minutes et se rendre au point de contrôle installé. Malgré les demandes réitérées de quitter les lieux, bon nombre de manifestants dont R.________ n'ont pas obtempéré. La Police a ainsi été obligée de recourir à la force pour d'évacuer la place et R.________ a dû être libéré par les pompiers à 5h19 pour pouvoir être contrôlé et interrogé. En d roit :</w:t>
      </w:r>
    </w:p>
    <w:p>
      <w:r>
        <w:t>- 7 - 1. Interjeté dans les formes et délai légaux (art. 399 CPP [Code de procédure pénale suisse du 5 octobre 2007 ; RS 312.0]) par une partie ayant la qualité pour recourir contre le jugement de première instance qui a clos la procédure (art. 398 al. 1 CPP), l’appel de E.________ est recevable. L’appelante ne conteste que le fait qu’elle ait été reconnue débitrice de l’intimé d’une indemnité de 4'700 francs. Dès lors qu’il ne porte que sur la question des frais et indemnités, l’appel relève de la procédure écrite (art. 406 al. 1 let. d CPP).</w:t>
      </w:r>
    </w:p>
    <w:p>
      <w:r>
        <w:rPr>
          <w:b/>
        </w:rPr>
        <w:t>E. 3</w:t>
      </w:r>
    </w:p>
    <w:p>
      <w:r>
        <w:t>L’appelante se plaint d’un défaut de motivation et reproche au premier juge d’avoir appliqué l’art. 427 CPP de manière incorrecte. Elle conteste devoir verser une indemnité à R.________, faisant valoir que certaines infractions retenues contre ce dernier se poursuivaient d’office, qu’elle-même n’était concernée que par un complexe de faits parmi plusieurs autres imputés à R.________ et qu’on ne pouvait – comme l’avait fait le premier juge – lui reprocher d’avoir maintenu sa plainte puisqu’elle n’avait agi que pour préserver ses droits, la question de la validité de sa plainte n’ayant pas été tranchée au moment du jugement entrepris.</w:t>
      </w:r>
    </w:p>
    <w:p>
      <w:r>
        <w:rPr>
          <w:b/>
        </w:rPr>
        <w:t>E. 3.1.1</w:t>
      </w:r>
    </w:p>
    <w:p>
      <w:r>
        <w:t>L'obligation de motiver le jugement est l'un des composants du droit d'être entendu (art. 29 al. 2 Cst.). Le but de la motivation est de permettre au justiciable de comprendre les raisons qui ont conduit le tribunal à prendre cette décision et lui permettre de décider éventuellement d'interjeter ou non un recours contre cette décision ;</w:t>
      </w:r>
    </w:p>
    <w:p>
      <w:r>
        <w:t>- 8 - l'autorité de recours peut également, grâce à la motivation, exercer son contrôle (Moreillon/Parein-Reymond, Petit commentaire, Code de procédure pénale, 2e éd., Bâle 2016, n. 2 ad art. 82 CPP). On doit pouvoir comprendre quels sont les moyens de preuve qui ont fondé la décision du tribunal. Une brève motivation suffit : un court exposé des faits, des règles de droit déterminantes et des raisons de leur application au cas jugé est généralement suffisant (Piquerez/Macaluso, Procédure pénale suisse, 3e éd., Genève/Zurich/Bâle 2011, n. 1844). Le juge n'a pas l'obligation d'exposer et de discuter tous les faits, moyens de preuve et griefs invoqués par les parties, mais peut au contraire se limiter à l'examen des questions décisives pour l'issue du litige (ATF 139 IV 179 consid. 2.2 ; TF 6B_932/2013 du 31 mars 2014). Pour déterminer l'étendue de la motivation, il ne convient pas de prendre en considération les seuls passages consacrés au verdict de culpabilité, mais le jugement dans son entier (TF 6P.49/2003 du 30 mai 2003 consid. 2 et les références citées). Il y a violation du droit d'être entendu si l'autorité ne satisfait pas à son devoir minimum d'examiner et de traiter les problèmes pertinents (ATF 130 II 530 consid. 4.3 ; ATF 129 I 232 consid. 3.2 ; ATF 122 IV 8 consid. 2c).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consid. 3.1; ATF 137 I 195 consid. 2.3.2).</w:t>
      </w:r>
    </w:p>
    <w:p>
      <w:r>
        <w:rPr>
          <w:b/>
        </w:rPr>
        <w:t>E. 3.1.2</w:t>
      </w:r>
    </w:p>
    <w:p>
      <w:r>
        <w:t>Le sort des frais de procédure à l'issue de celle-ci est régi par les art. 422 ss CPP. En principe, ils sont mis à la charge de la Confédération ou du canton qui a conduit la procédure, les dispositions</w:t>
      </w:r>
    </w:p>
    <w:p>
      <w:r>
        <w:t>- 9 -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Il faut que la partie plaignante ait déposé une ou plusieurs conclusions civiles (ATF 138 IV 248 consid. 4.1). L'art. 427 al. 2 CPP dispose qu’en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Selon le Tribunal fédéral,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w:t>
      </w:r>
    </w:p>
    <w:p>
      <w:r>
        <w:rPr>
          <w:b/>
        </w:rPr>
        <w:t>E. 3.1.3</w:t>
      </w:r>
    </w:p>
    <w:p>
      <w:r>
        <w:t>Aux termes de l'art. 429 al. 1 CPP, si le prévenu est acquitté totalement ou en partie ou s'il bénéficie d'une ordonnance de classement, il a droit à une indemnité pour les dépenses occasionnées par l'exercice</w:t>
      </w:r>
    </w:p>
    <w:p>
      <w:r>
        <w:t>- 10 -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L'art. 430 al. 1 CPP posant les mêmes conditions que l'art. 426 al. 2 CPP, il est adéquat de se référer dans les deux cas à la jurisprudence rendue en matière de condamnation aux frais du prévenu acquitté (ATF 137 IV 352 précité ; TF 6B 77/2013 du 4 mars 2013 consid.</w:t>
      </w:r>
    </w:p>
    <w:p>
      <w:r>
        <w:rPr>
          <w:b/>
        </w:rPr>
        <w:t>E. 3.1.4</w:t>
      </w:r>
    </w:p>
    <w:p>
      <w:r>
        <w:t>Aux termes de l'art. 432 CPP, le prévenu qui obtient gain de cause peut demander à la partie plaignante une juste indemnité pour les dépenses occasionnées par la procédure civile (al. 1). Lorsque le prévenu</w:t>
      </w:r>
    </w:p>
    <w:p>
      <w:r>
        <w:t>- 11 -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Selon le Tribunal fédéral, qui se réfère aux versions allemande et italienne de l'art. 432 CPP, il n'est pas nécessaire que la partie plaignante ait agi de manière téméraire ou par négligence grave pour être tenue d'indemniser le prévenu qui obtient gain de cause dans le cas d'infractions poursuivies sur plainte (ATF 147 IV 47 consid. 4.2).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(ATF 147 IV 47 consid. 4.2.4 à 4.2.6).</w:t>
      </w:r>
    </w:p>
    <w:p>
      <w:r>
        <w:rPr>
          <w:b/>
        </w:rPr>
        <w:t>E. 3.2.1</w:t>
      </w:r>
    </w:p>
    <w:p>
      <w:r>
        <w:t>En l’espèce, s’agissant d’un droit à une indemnité en faveur de l’intimé au sens de l’art. 427 CPP à la charge de l’appelante, le tribunal de police a considéré que « la plainte de l'E.________ a été maintenue alors qu'il a été jugé à maintes reprises qu'elle n'était pas recevable de sorte que l'E.________ doit participer aux frais d'avocat du prévenu » (cf. jgmt, p. 9). Cette appréciation, des plus succinctement motivée, ne peut être suivie. Tout d’abord, R.________ était accusé de cinq complexes de faits (cf. jgmt, p. 7) dont un seul concernait l'appelante. Du point de vue du droit, seules les infractions de dommages à la propriété et de violation</w:t>
      </w:r>
    </w:p>
    <w:p>
      <w:r>
        <w:t>- 12 - de domicile concernaient l’appelante, étant précisé que le Ministère public avait également retenu l’infraction de dommages à la propriété qualifiés, infraction qui se poursuit d'office. L'appelante n'était en revanche pas du tout concernée par les accusations d'entrave aux services d'intérêt général, de violation des règles de la circulation, de contravention à l'Ordonnance fédérale 2 Covid-19 et de contravention au RGP. En outre, l'accusation de dommages à la propriété visait aussi un autre complexe de faits sans lien avec E.________. Ensuite, force est de constater que l’appelante n'a pas participé activement à la procédure et qu’elle a renoncé à prendre des conclusions civiles (P. 30). Elle a expliqué que si elle maintenait sa plainte, c'était parce que la question de sa validité était examinée dans une procédure parallèle. Elle n'a fait que réagir à des interpellations du Ministère public (dossier F). En effet, elle a déposé une demande de dispense à l’audience du 13 octobre 2022, demande qui a été acceptée sans que cela n’entraîne un report des débats. Au vu de ce qui précède, c’est en vain que l’intimé, dans ses déterminations, se prévaut de l’art. 417 CPP qui concerne le féaut de la partie plaignante. Compte tenu de l’ensemble de ces éléments, on ne peut reprocher à l’appelante d’avoir agi de manière téméraire ou par négligence grave, ni d’avoir entravé le bon déroulement de la procédure ou rendu celle-ci plus difficile au sens de l’art. 427 CPP, dont les conditions d’application ne sont dès lors pas réalisées. Par conséquent, aucune indemnité en faveur de R.________ ne peut être mise à la charge de l'appelante à ce titre. Seul l’art. 429 CPP trouve ainsi application pour justifier l’allocation d’une indemnité en faveur de l’intimé, à la charge de l’Etat. L’appel, bien fondé, doit être admis.</w:t>
      </w:r>
    </w:p>
    <w:p>
      <w:r>
        <w:rPr>
          <w:b/>
        </w:rPr>
        <w:t>E. 3.2.2</w:t>
      </w:r>
    </w:p>
    <w:p>
      <w:r>
        <w:t>S’agissant de l’indemnité allouée à l’intimé, le jugement de première instance est particulièrement lapidaire sur ce qui a été demandé et par conséquent accordé. Par ailleurs, il y a lieu de relever que les frais judiciaires de première instance, par 1'600 fr., ont été mis à sa charge à hauteur de 500 francs (cf. jgmt, p. 4).</w:t>
      </w:r>
    </w:p>
    <w:p>
      <w:r>
        <w:t>- 13 - La Cour de céans constate que sur les quatre infractions qui lui ont été imputées à l’origine, l’intimé n’a finalement été condamné que pour une infraction. Compte tenu de l’issue de la procédure, il est justifié d’allouer à l’intimé une indemnité réduite au sens de l’art. 429 CPP pour les frais occasionnés par sa participation à la procédure de première instance. La liste d’opérations produite aux débats de première instance fait état d’un mandat de 12.25 heures (P. 33), ce qui peut être admis. Compte tenu de la nature de l’affaire – qui ne présentait pas de difficulté particulière en droit ou en fait et qui portait notamment sur deux contraventions – un tarif horaire de 250 fr. doit être appliqué (art. 26a al. 3 TFIP [tarif des frais de procédure et indemnités en matière pénale du 28 septembre 2010 ; BLV 312.03.1]), ce qui correspond à une indemnité de 3'463 fr. 20, soit des honoraires de 3'062 fr. 15, auxquels s’ajoutent des débours forfaitaires de 5%, par 153 fr. 10, et la TVA à 7.7% sur le tout, par 247 fr. 60. Vu le sort des frais, R.________ a droit à une indemnité réduite de 30%, correspondant au montant de 2'424 fr. 30, au titre de l’art. 429 CPP pour les frais occasionnés par sa participation à la procédure de première instance, laissée à la charge de l’Etat.</w:t>
      </w:r>
    </w:p>
    <w:p>
      <w:r>
        <w:rPr>
          <w:b/>
        </w:rPr>
        <w:t>E. 4</w:t>
      </w:r>
    </w:p>
    <w:p>
      <w:r>
        <w:t>En définitive, l’appel doit être admis et le jugement entrepris réformé en dans le sens des considérants. Vu l’issue de la cause, les frais de la procédure d’appel, uniquement constitués de l’émolument d’arrêt, par 1'430 fr. (art. 20 al. 1 TFIP), seront laissés à la charge de l’Etat (art. 423 al. 1 CPP). L’appelante, agissant par le biais d’un conseil professionnel, a droit à une indemnité pour les dépenses occasionnées par la procédure d’appel au sens de l’art. 433 CPP. Elle a conclu à l’allocation en sa faveur d’un montant de 7'000 fr., produisant une liste d’opérations à l’appui de cette conclusion (P. 49/2, annexe 2), faisant état de 14 heures de travail, durée qui peut être admise. On appliquera toutefois un tarif horaire de 250</w:t>
      </w:r>
    </w:p>
    <w:p>
      <w:r>
        <w:t>- 14 - fr. en lieu et place des 500 fr. demandés, s’agissant d’une cause ne posant qu’une question juridique simple traitée en procédure écrite (art. 26a al. 3 TFIP). C’est ainsi une indemnité de 3’974 fr. 15 qui doit être allouée à l’appelante, à la charge de l’Etat, pour les dépenses occasionnées par la procédure d’appel au sens de l’art. 433 CPP. L’intimé, agissant lui aussi par le biais d’un conseil professionnel, a produit une liste d’opérations faisant état de 4 heures et 10 minutes d’activité assumée par une avocate-stagiaire et de 1 heure par un avocat breveté (P. 58/1), ce qui peut être admis. L’intimé a principalement conclu au rejet de l’appel, le jugement entrepris étant confirmé. Il a subsidiairement conclu à ce que l’indemnité allouée en sa faveur soit mise à la charge de l’Etat. Obtenant gain de cause sur une conclusion subsidiaire, il convient d’allouer à l’intimé une indemnité réduite de moitié pour les dépenses occasionnées par la procédure d’appel au sens de l’art. 429 CPP. En appliquant un tarif horaire de 250 fr. pour l’avocat breveté et de 160 fr. pour l’avocate-stagiaire (art. 26a al. 3 TFIP), l’indemnité entière s’élève à 1’023 fr. 45. C’est ainsi une indemnité réduite de moitié, soit 511 fr. 70, qui sera allouée à l’intimé, à la charge de l’Etat,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