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PE21.012105 vom 23. November 2021</w:t>
      </w:r>
    </w:p>
    <w:p>
      <w:r>
        <w:t>VD Tribunal cantonal, 2021-11-23, FR</w:t>
      </w:r>
    </w:p>
    <w:p>
      <w:r>
        <w:rPr>
          <w:b/>
        </w:rPr>
        <w:t xml:space="preserve">Quelle: </w:t>
      </w:r>
      <w:r>
        <w:t>https://mcp.opencaselaw.ch/entscheid/vd_gerichte_PE21.012105</w:t>
      </w:r>
    </w:p>
    <w:p>
      <w:r>
        <w:t>FR: VD_GERICHTE PE21.012105 du 23 novembre 2021</w:t>
      </w:r>
    </w:p>
    <w:p>
      <w:r>
        <w:t>IT: VD_GERICHTE PE21.012105 del 23 novembre 2021</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auprès de l’autorité compétente, le recours de A.L.________ est recevable à la forme.</w:t>
      </w:r>
    </w:p>
    <w:p>
      <w:r>
        <w:rPr>
          <w:b/>
        </w:rPr>
        <w:t>E. 2.1</w:t>
      </w:r>
    </w:p>
    <w:p>
      <w:r>
        <w:t>Le recourant reproche au Ministère public de ne pas être entré en matière sur la dénonciation qu’il a déposée contre la mère de ses enfants pour violation du devoir d’assistance ou d’éducation au sens de l’art. 219 CP (Code pénal suisse du 21 décembre 1937 ; RS 311). Dans ce contexte, il convient d’examiner la question de la qualité pour recourir de A.L.________.</w:t>
      </w:r>
    </w:p>
    <w:p>
      <w:r>
        <w:rPr>
          <w:b/>
        </w:rPr>
        <w:t>E. 2.2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ATF 126 IV 42 consid. 2a ; ATF 117 la 135 consid. 2a; Perrrier Depeursinge, in : Kuhn/ Jeanneret/Perrrier Depeursinge [éd.], Commentaire romand, Code de procédure pénale suisse, 2e éd., Bâle 2019, nn. 6 et 8 ad art. 115 CPP). Pour déterminer si une personne est lésée par une infraction, il convient d’interpréter le texte de la disposition pour savoir qui est le titulaire du</w:t>
      </w:r>
    </w:p>
    <w:p>
      <w:r>
        <w:t>- 4 - bien juridique que celle-ci protège (Perrrier Depeursinge, op. cit., nn. 8 et 11 ad art. 115 CPP ; TF 6B_252/2013 du 14 mai 2013 consid. 2.1).</w:t>
      </w:r>
    </w:p>
    <w:p>
      <w:r>
        <w:rPr>
          <w:b/>
        </w:rPr>
        <w:t>E. 2.3</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 il n’est donc pas nécessaire que le comportement de l’auteur aboutisse à un résultat, c’est-à-dire à une atteinte à l’intégrité corporelle ou psychique du mineur; la simple possibilité abstraite d’une atteinte ne suffit cependant pas, il faut que celle-ci apparaisse à tout le moins vraisemblable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 consid. 1.2; TF 6S.339/2003 du 12 novembre 2003 consid. 2.3; CAPE 8 octobre 2018/272 consid. 4.1 et réf. cit.). Le bien juridique protégé par l’art. 219 CP est le développement physique et psychique du mineur, soit d’une personne</w:t>
      </w:r>
    </w:p>
    <w:p>
      <w:r>
        <w:t>- 5 - âgée de moins de 18 ans (Dupuis et alii, Petit Commentaire du Code pénal, 2e éd., Bâle 2017, n. 2 ad art. 219 CP ; ATF 126 IV 136 consid. 1b). Le recourant, qui n’a pas été lui-même lésé par l’infraction en question, n’a donc pas personnellement un intérêt juridiquement protégé au recours au sens défini par la jurisprudence (CREP 8 janvier 2016/22, consid. 2.2 et réf. cit.).</w:t>
      </w:r>
    </w:p>
    <w:p>
      <w:r>
        <w:rPr>
          <w:b/>
        </w:rPr>
        <w:t>E. 2.4</w:t>
      </w:r>
    </w:p>
    <w:p>
      <w:r>
        <w:t>L’art. 117 al. 3 CPP prévoit que lorsque les proches de la victime se portent parties civiles contre les prévenus, ils jouissent des mêmes droits que la victime. Le proche de la victime est défini à l'art. 116 al. 2 CPP ; il s’agit notamment des père et mère de la victime. Selon la jurisprudence fédérale, les termes « se portent parties civiles » de la version française doivent s'interpréter dans le sens de faire valoir des prétentions civiles, comme l’attestent les versions allemande et italienne (« Machen die Angehörigen des Opfers Zivilansprüche gelten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 En l’espèce, les deux enfants du recourant sont des victimes présumées au sens de l’art. 116 al. 1 CPP, de sorte que le recourant est un proche selon l’art. 116 al. 2 CPP. Cependant, le recourant n’a pas pris de conclusions civiles propres dans la procédure pénale ouverte ensuite de sa dénonciation. N’ayant pas personnellement la qualité de partie plaignante,</w:t>
      </w:r>
    </w:p>
    <w:p>
      <w:r>
        <w:t>- 6 - le recourant ne saurait donc fonder sa qualité pour recourir sur ce statut particulier (CREP 8 janvier 2016/22, consid. 2.2 et les réf. cit.).</w:t>
      </w:r>
    </w:p>
    <w:p>
      <w:r>
        <w:rPr>
          <w:b/>
        </w:rPr>
        <w:t>E. 2.5</w:t>
      </w:r>
    </w:p>
    <w:p>
      <w:r>
        <w:t>Il reste enfin à déterminer si le recourant, qui est toujours titulaire de l’autorité parentale sur ses deux enfants, peut recourir en sa qualité de représentant légal de sa fille et de son fils. Tel paraît a priori être le cas. L’art. 306 al. 3 CC (Code civil suisse du 10 décembre 1907 ; RS 210) prévoit que l’existence d’un conflit d’intérêts entraîne de plein droit la fin des pouvoirs des père et mère pour l’affaire en cause. L’existence d’un conflit d’intérêts s’examine de manière abstraite (Schwenzer/Cottier, in: Honsell, Vogt, Geiser [éd.], Basler Kommentar, Zivilgesetzbuch I, 6e éd., Bâle 2019, n. 4 ad art. 306 CC, p. 1831, et réf. cit.).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(Hegnauer, Kann die Mutter das Kind im Strafverfahren gegen den Vater vertreten ?, in : ZVW/RDT 1994, pp. 152 ss, spéc. pp. 153-154). En présence d’un conflit d’intérêts, le parent concerné n’a plus le pouvoir de représenter l’enfant, même si un curateur ad litem n’a pas encore été désigné (TF 6B_707/2014 du 18 décembre 2014 consid. 1.3.2 et réf. cit.). En l’espèce, il ressort de courriels échangés entre le père et les enfants de juin 2019 à juin 2020 que le couple a vécu une relation et une séparation conflictuelles et que les enfants se retrouvent dans un conflit de loyauté envers leurs parents. En effet, le recourant a expliqué dans sa dénonciation (P. 4) que le couple était séparé depuis mai 2017, que ses enfants ne voulaient plus le voir depuis octobre 2017, qu’il était en conflit avec B.L.________ s’agissant de ses relations personnelles avec ses enfants et qu’une procédure de divorce était en cours. Dans un courriel du 27 mai 2020 (P. 9/3), C.L.________ a expliqué à son père qu’elle ne voulait plus le voir, qu’il avait détruit leur relation, qu’elle se sentait « super bien » avec sa mère et D.L.________, et qu’elle voulait vivre sa « meilleure vie ». Quant à D.L.________, il a écrit à son père, en mai 2020,</w:t>
      </w:r>
    </w:p>
    <w:p>
      <w:r>
        <w:t>- 7 - qu’il ressentait un « stress constant » lorsqu’il était avec lui car il avait peur qu’il se dispute ou qu’il soit agressif avec sa mère et que cela l’avait éloigné de lui (P. 9/4). Dans ces circonstances, on ne peut exclure que la dénonciation ne serve pas uniquement les intérêts des enfants dans le cadre de la présente procédure pénale, mais que le recourant tente d’obtenir la condamnation pénale de la mère dans le but d’influencer le juge du divorce qui devra statuer sur l’autorité parentale sur les deux enfants, sur leur droit de garde et sur leurs relations personnelles avec leurs parents. L’existence d’un conflit d’intérêts, à tout le moins abstrait, est donc avérée. Ce qui est problématique, c’est le fait, pour un parent, de représenter les enfants dans le cadre d’une procédure pénale dirigée contre l’autre parent. Cela est d’autant plus vrai lorsque, comme en l’espèce, un procès civil est pendant entre les parents au sujet du sort des enfants. Ainsi, on doit admettre qu’en raison d’un conflit d’intérêts, le recourant n’a pas le pouvoir de représenter ses enfants dans le cadre de la présente procédure pénale ni, par conséquent, de déposer un recours (CREP 8 janvier 2016/22 consid. 2.4).</w:t>
      </w:r>
    </w:p>
    <w:p>
      <w:r>
        <w:rPr>
          <w:b/>
        </w:rPr>
        <w:t>E. 3</w:t>
      </w:r>
    </w:p>
    <w:p>
      <w:r>
        <w:t>Il résulte de ce qui précède que le recours interjeté par A.L.________ doit être déclaré irrecevable. Les frais de la procédure de recours, constitués en l’espèce du seul émolument d’arrêt (art. 422 al. 1 CPP), par 770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770 fr. (sept cent septante francs), sont laissés à la charge de l’Etat.</w:t>
      </w:r>
    </w:p>
    <w:p>
      <w:r>
        <w:t>- 8 - III. L’arrêt est exécutoire. Le président : La greffière : Du Le présent arrêt, dont la rédaction a été approuvée à huis clos, est notifié, par l'envoi d'une copie complète, à : - M. A.L.________,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