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PE21.012090 vom 12. Oktober 2022</w:t>
      </w:r>
    </w:p>
    <w:p>
      <w:r>
        <w:t>VD Tribunal cantonal, 2022-10-12, FR</w:t>
      </w:r>
    </w:p>
    <w:p>
      <w:r>
        <w:rPr>
          <w:b/>
        </w:rPr>
        <w:t xml:space="preserve">Quelle: </w:t>
      </w:r>
      <w:r>
        <w:t>https://mcp.opencaselaw.ch/entscheid/vd_gerichte_PE21.012090</w:t>
      </w:r>
    </w:p>
    <w:p>
      <w:r>
        <w:t>FR: VD_GERICHTE PE21.012090 du 12 octobre 2022</w:t>
      </w:r>
    </w:p>
    <w:p>
      <w:r>
        <w:t>IT: VD_GERICHTE PE21.012090 del 12 ottobre 2022</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w:t>
      </w:r>
    </w:p>
    <w:p>
      <w:r>
        <w:t>- 10 -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la plaignante qui a la qualité pour recourir (art. 382 al. 1 CPP). Au surplus, le recours satisfait aux conditions de forme prescrites (art. 385 al. 1 CPP). Il est donc recevable.</w:t>
      </w:r>
    </w:p>
    <w:p>
      <w:r>
        <w:rPr>
          <w:b/>
        </w:rPr>
        <w:t>E. 2</w:t>
      </w:r>
    </w:p>
    <w:p>
      <w:r>
        <w:t>La recourante soutient en premier lieu que l'enquête est incomplète. Le procureur aurait ainsi omis de procéder à l'audition de N.________, alors même que celle-ci avait adressé le 16 janvier 2022 un message téléphonique à la plaignante par lequel elle évoquait la possibilité qu'elle se voile la face et relevait que le prévenu n'avait pas bu ou très peu bu lors de la soirée du 27 mars 2021. Compte tenu de ces éléments et du rôle central de ce témoin, qui serait la seule personne à avoir partiellement assisté aux actes sexuels survenus entre le prévenu et la plaignante, son audition par la direction de la procédure serait indispensable. Elle invoque également la jurisprudence relative aux infractions commises « entre quatre yeux » et expose, sous l'angle de l'art. 191 CP, qu'il existe un doute quant à sa capacité de résistance. Vu l'état dans lequel elle se trouvait, décrit en détail par les témoins N.________ et Z.________ (vomissements multiples et importants, au point de boucher l'évier des toilettes, incapacité à se tenir debout, crise de panique), on ne pourrait conclure à sa capacité de résistance lors des faits, cela d'autant moins que trois rapports médicaux au dossier font état de symptômes typiques d'un stress post traumatique (P. 18). Ces attestations, notamment celle émanant de la psychologue [...], établiraient une prise de conscience ultérieure chez la plaignante d'actes sexuels non consentis. S'agissant de son attitude soi-disant active lors des faits, la recourante soutient qu'elle n'est pas déterminante car, selon la jurisprudence du Tribunal fédéral, une fois que la victime est en état d'incapacité, elle n'est plus en mesure de se déterminer librement et, en conséquence, le fait d'avoir été active ou de ne simplement pas s'opposer aux actes n'est alors plus relevant pour juger de sa capacité de résistance.</w:t>
      </w:r>
    </w:p>
    <w:p>
      <w:r>
        <w:t>- 11 - À cet égard, il ressortirait précisément de son audition par la police qu'elle n'était pas en mesure de se déterminer librement, au vu de la quantité d'alcool ingurgitée et de son état d'épuisement physique et psychique. Dans un tel contexte, le prévenu, qui aurait peu bu, n'aurait pas pu ne pas se rendre compte que la plaignante se trouvait dans un état de grande fragilité. En tous les cas, un doute subsisterait sur ce point.</w:t>
      </w:r>
    </w:p>
    <w:p>
      <w:r>
        <w:rPr>
          <w:b/>
        </w:rPr>
        <w:t>E. 2.1.1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 1057 ss, spéc. 1255). La décision de classer la procédure doit être prise en application du principe in dubio pro duriore, qui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6B_854/2020 du 19 janvier 2021 consid. 2.1). En revanche, le ministère public doit classer la procédure s’il apparaît, sur la base de faits assez clairs pour qu’il n’y ait pas lieu de s’attendre à une appréciation différente de l’autorité de jugement (ATF 143 IV 241 consid.</w:t>
      </w:r>
    </w:p>
    <w:p>
      <w:r>
        <w:t>- 12 - 2.3.2), qu’un renvoi aboutirait selon toute vraisemblance à un acquittement.</w:t>
      </w:r>
    </w:p>
    <w:p>
      <w:r>
        <w:rPr>
          <w:b/>
        </w:rPr>
        <w:t>E. 2.1.2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précité consid. 2.2.2 et les arrêts cités ; TF 6B_1164/2020 du 10 juin 2021 consid. 2.2. et les références citées).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consid. 2.2.2).</w:t>
      </w:r>
    </w:p>
    <w:p>
      <w:r>
        <w:rPr>
          <w:b/>
        </w:rPr>
        <w:t>E. 2.1.3</w:t>
      </w:r>
    </w:p>
    <w:p>
      <w:r>
        <w:t>Selon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(TF 6B_1174/2021 du 21 juin 2022 consid. 2.1 ; TF 6B_215/2021 du 17 janvier 2022 consid. 4.1; TF 6B_123/2020 du 26 novembre 2020 consid. 7.1).</w:t>
      </w:r>
    </w:p>
    <w:p>
      <w:r>
        <w:t>- 13 -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p. 56 et les références citées ; TF 6B_1174/2021 précité consid. 2.1 et les arrêts cités).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 Herabsetzung der Hemmschwelle » ; ATF 133 IV 49 consid. 7.2 ; ATF 119 IV 230 consid. 3a ; TF 6B_238/2019 du 16 avril 2019 consid. 2.1 ; TF 6B_578/2018 du 20 mars 2019 consid. 2.1 ; TF 6B_60/2015 du 25 janvier 2016 consid. 1.1.3). Une incapacité de résistance peut être retenue lorsqu'une personne, sous l'effet de l'alcool et de fatigue ne peut pas ou que faiblement, s'opposer aux actes entrepris (cf. TF 6B_238/2019 du 16 avril 2019 consid. 2.1 ; TF 6B_578/2018 du 20 mars 2019 consid. 2.1 ; TF 6B_232/2016 du 21 décembre 2016 consid. 2.2 ; TF 6B_128/2012 du 21 juin 2012 consid. 1.4).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(TF 6B_60/2015 du 25 janvier 2016 consid. 1.1.3). Est incapable de discernement celui qui n'est plus en mesure d'évaluer la véritable signification et la portée de son</w:t>
      </w:r>
    </w:p>
    <w:p>
      <w:r>
        <w:t>- 14 - comportement, respectivement qui n'est pas conscient de ce qu'il fait et par conséquent, ne peut pas décider si et avec qui il souhaite un contact sexuel (Philipp Maier, Basler Kommentar, Strafgesetzbuch, 3e éd. 2013, n°</w:t>
      </w:r>
    </w:p>
    <w:p>
      <w:r>
        <w:rPr>
          <w:b/>
        </w:rPr>
        <w:t>E. 2.2</w:t>
      </w:r>
    </w:p>
    <w:p>
      <w:r>
        <w:t>En l’espèce, la Chambre de céans considère qu’il n’est à ce stade, pas possible d’établir avec certitude ce qui s’est réellement passé le soir en question sur la base des éléments du dossier. Les différents protagonistes ont tous indiqué que la recourante avait été victime d'une sévère intoxication à l’alcool. Les déclarations de N.________ à la police sont pour le moins éloquentes à cet égard, en particulier pour ce qui concerne l'intensité et la fréquence des vomissements ainsi que la crise d’hyperventilation dont la recourante a été victime, au point que N.________ avait eu peur pour son amie et avait envisagé d’appeler une ambulance dans le cas où celle-ci s’endormait. Ainsi, il est établi que peu avant les actes sexuels dénoncés par la recourante, cette dernière était si mal qu’elle avait vomi plusieurs fois, au point de boucher l’évier de la salle de bain, qu’elle n’était pas capable de se tenir debout ou de se déshabiller seule et enfin qu’après avoir été douchée et habillée, notamment avec l’aide de son amie N.________, qu’elle avait fait une crise d’hyperventilation. Les déclarations de la recourante à la police sont en outre claires, nuancées et constantes (PV aud. 2). Par ailleurs, la description que l’intimé fait de la soirée (PV aud. 4) permet de retenir qu’il était en possession de ses moyens et qu’il pouvait ou devait voir l’état dans lequel se trouvait la recourante. Ce qui n’est pas clair c’est le laps de temps qui s’est écoulé entre le moment où la recourante a vomi et s’est sentie mal et le début des actes sexuels qu’elle dénonce. En outre, le contenu des échanges de messages WhatsApp entre la recourante et N.________ posent question dans la mesure où cette dernière écrit « j’ai vraiment un trou noir » et « je pense qu’ils nous ont bien eu et qu’ils ont préparé leur truc », laissant entendre qu’elle était elle-même trop alcoolisée pour réaliser ce qu’il se passait et que les garçons qui n’avaient pas bu autant auraient organisé la chose. Enfin, l’ordonnance entreprise ne mentionne pas les trois rapports médicaux au dossier, qui font tous état d’un symptôme de stress post- traumatique à la suite d’une agression (cf. P. 18/1 à 18/3).</w:t>
      </w:r>
    </w:p>
    <w:p>
      <w:r>
        <w:t>- 16 - Quant au caractère « actif » de la recourante, il n’est pas possible d’en déduire qu’elle était en état de se déterminer librement. En effet, tout d’abord, les faits semblent s’être déroulés sur une certaine période (l’intimé déclare qu’ils se sont endormis puis qu’ils ont discuté entre les différents actes sexuels), de sorte que le fait que la recourante ait été active à un moment donné ne signifie pas qu’elle l’aurait été tout le temps. Ensuite, l’incapacité de résistance n’implique pas l’inactivité ; c’est en effet plus complexe comme le rappelle le Tribunal fédéral dans la jurisprudence citée plus haut (cf. consid. 2.1.3 supra). Dans ces circonstances, il appartient au Ministère public d’instruire plus avant l’état dans lequel se trouvait la recourante, en procédant notamment à l’audition de N.________ en particulier sur la chronologie de la soirée et toute la situation. 3. Il résulte de ce qui précède que le recours doit être admis, et l’ordonnance de classement annulée, le dossier de la cause étant envoyé au Ministère public de l’arrondissement de La Côte pour qu’il procède dans le sens des considérants. L’indemnité due pour la procédure de recours à Me Joëlle Druey, conseil juridique gratuit de L.________, doit être fixée, au vu du mémoire déposé et de la nature de l’affaire, à 900 fr., correspondant à 5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auxquels il convient d’ajouter des débours forfaitaires à concurrence de 2 % (art. 2 al. 1 let. a et 3bis RAJ, applicables par renvoi de l'art. 26b TFIP), par 18 fr., et la TVA à 7,7 %, par 70 fr. 70, soit à 989 fr. au total en chiffres arrondis. Me Arnaud Thiéry, défenseur d’office de I.________, a produit une liste d’opérations (P. 28) faisant état de 5,18 heures d’activité pour la</w:t>
      </w:r>
    </w:p>
    <w:p>
      <w:r>
        <w:t>- 17 - procédure de recours, dont 30 minutes consacrées à la transmission de « lettre au client », 1 heure pour des recherches juridiques et 3 heures et 30 minutes pour la rédaction de la réponse du 30 septembre 2022. Cette durée apparaît excessive. En effet, les transmissions de courrier représentent un travail de secrétariat qui n’a pas à être rémunéré par l’indemnité d’office. De même, au vu de la réponse du 30 septembre 2022, rédigée par un avocat qui connait le dossier puisqu’il est intervenu dès le début de la procédure, la durée admise pour sa rédaction peut être ramenée à 3h, de sorte que la durée du mandat consacré sera en définitive admis à hauteur de 4 heures d’activité nécessaire d’avocat. Au tarif horaire de 180 fr., l’indemnité de Me Arnaud Thiéry sera ainsi fixée à 720 fr., plus des débours forfaitaires par 14 fr. 40 et la TVA par 56 fr. 55, soit 791 fr. au total en chiffres arrondis. Les frais de la procédure de recours sont constitués de l’émolument d'arrêt, par 1’760 fr. (art. 20 al. 1 TFIP [Tarif des frais de procédure et indemnités en matière pénale du 28 septembre 2010 ; BLV 312.03.1]), ainsi que des frais imputables à l’assistance judiciaire gratuite de [...], par 989 fr., et à la défense d’office de I.________, par 791 fr., (art. 422 al. 1 et 2 let. a CPP). Le Ministère public et I.________ ayant conclu au rejet du recours, I.________ supportera la moitié de l’émolument et des indemnités précitées, le solde des frais étant laissé à la charge de l’Etat (art. 428 al. 1 et 4 CPP). Le remboursement à l’Etat de la part des indemnités allouées au conseil juridique gratuit de L.________ et au défenseur d’office de I.________, mises à la charge de ce dernier, ne sera exigible que pour autant que sa situation économique le permette (art. 135 al. 4, 138 al. 1 et 426 al. 4 CPP ; ATF 145 IV 90 consid. 5.2).</w:t>
      </w:r>
    </w:p>
    <w:p>
      <w:r>
        <w:t>- 18 - Par ces motifs, la Chambre des recours pénale prononce : I. Le recours est admis. II. L’ordonnance du 23 mars 2022 est annulée. III. Le dossier de la cause est renvoyé au Ministère public de l’arrondissement de La Côte pour qu’il procède dans le sens des considérants. IV. L’indemnité allouée au conseil juridique gratuit de L.________ pour la procédure de recours est fixée à 990 fr. (neuf cent nonante francs). V. L’indemnité allouée au défenseur d’office de I.________ pour la procédure de recours est fixée à 791 fr. (sept cent nonante et un francs). VI. Les frais d’arrêt, par 1’760 fr. (mille sept cent soixante francs), sont mis à hauteur de 880 fr. (huit cent huitante francs) à la charge de I.________ qui supportera en outre la moitié de l’indemnité allouée à son défenseur d’office selon chiffre V ci- dessus, par 395 fr. 50 (trois cent nonante cinq francs et cinquante centimes) et la moitié de l’indemnité allouée à Me Joëlle Druey selon chiffre IV ci-dessus, par 494 fr. 50 (quatre cent nonante quatre francs et cinquante centimes) ; le solde des frais et des indemnités est laissé à la charge de l’Etat. VII. Le remboursement à l’Etat de la moitié des indemnités allouées aux chiffres IV et V ci-dessus ne sera exigible que pour autant que la situation financière de I.________ le permette. VIII. L’arrêt est exécutoire. La présidente : La greffière :</w:t>
      </w:r>
    </w:p>
    <w:p>
      <w:r>
        <w:t>- 19 - Du Le présent arrêt, dont la rédaction a été approuvée à huis clos, est notifié, par l'envoi d'une copie complète, à : - Me Joëlle Druey, avocate (pour L.________), - Ministère public central, et communiqué à : - M. le Procureur de l’arrondissement de La Côte, - Me Arnaud Thiéry, avocat (pour I.________),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5</w:t>
      </w:r>
    </w:p>
    <w:p>
      <w:r>
        <w:t>ad art. 191 CP). Selon le Message, l'incapacité de discernement de l'art. 191 CP exclut tout consentement valable à l'acte d'ordre sexuel et toute responsabilité à cet égard (Message du 25 juin 1985 concernant la modification du code pénal et du code pénal militaire relative aux infractions contre la vie, l'intégrité corporelle, les mœurs et la famille, FF 1985 II 1021 ss, p. 1093 ; voir également l'arrêt 6S.359/2002 du 7 août 2013 consid. 4.2 et les références citées, qui retient : " So ist der Tatbestand der Schändung namentlich nicht erfüllt, wenn der Partner vorgängig in den Sexualkontakt eingewilligt hat. Das vor dem Eintritt der Widerstands- oder Urteilsunfähigkeit erklärte Einverständnis schliesst den Tatbestand aus").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 (TF 6B_1362/2019 du 11 mars 2020 consid. 3.1). Sur le plan subjectif, l'art. 191 CP requiert l'intention, étant précisé que le dol éventuel suffit (TF 6B_488/2021 du 22 décembre 2021 consid. 5.5 ; TF 6B_995/2020 du 5 mai 2021 consid. 1.1.2; TF 6B_1362/2019 précité consid. 4.1; TF 6B_578/2018 du 20 mars 2019 consid. 2.1).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6B_995/2020 précité consid. 1.1.2; TF 6B_1362/2019 précité consid. 4.1; TF 6B_578/2018 précité consid. 2.1).</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