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PE21.011678 vom 5. November 2021</w:t>
      </w:r>
    </w:p>
    <w:p>
      <w:r>
        <w:t>VD Tribunal cantonal, 2021-11-05, FR</w:t>
      </w:r>
    </w:p>
    <w:p>
      <w:r>
        <w:rPr>
          <w:b/>
        </w:rPr>
        <w:t xml:space="preserve">Quelle: </w:t>
      </w:r>
      <w:r>
        <w:t>https://mcp.opencaselaw.ch/entscheid/vd_gerichte_PE21.011678</w:t>
      </w:r>
    </w:p>
    <w:p>
      <w:r>
        <w:t>FR: VD_GERICHTE PE21.011678 du 5 novembre 2021</w:t>
      </w:r>
    </w:p>
    <w:p>
      <w:r>
        <w:t>IT: VD_GERICHTE PE21.011678 del 5 novembre 2021</w:t>
      </w:r>
    </w:p>
    <w:p>
      <w:pPr>
        <w:pStyle w:val="Heading2"/>
      </w:pPr>
      <w:r>
        <w:t>Volltext</w:t>
      </w:r>
    </w:p>
    <w:p>
      <w:r>
        <w:t>TRIBUNAL CANTONAL 1009 PE21.011678-//DTE CHAMBRE DE S RECO URS PEN ALE __________________________________________ Arrêt du 5 novembre 2021 __________________ Composition : M. PERROT, président Mme Fonjallaz et M. Meylan, juges Greffière : Mme Choukroun ***** Art. 85 al. 4 CPP Statuant sur le recours interjeté le 29 octobre 2021 par V.________ contre le prononcé rendu le 18 octobre 2021 par le Tribunal de police de l’arrondissement de La Broye et du Nord vaudois dans la cause n° PE21.011678-//DTE, la Chambre des recours pénale considère : En fait : A. Par ordonnance pénale du 27 août 2021, le Ministère public de l’arrondissement du Nord vaudois a condamné V.________ pour lésions corporelles simples et injure, à une peine pécuniaire de 45 jours-amende, le montant du jour-amende étant fixé à 50 fr., avec sursis pendant 2 ans, 351</w:t>
      </w:r>
    </w:p>
    <w:p>
      <w:r>
        <w:t>- 2 - et à une amende de 500 fr., convertible en 10 jours de peine privative de liberté de substitution en cas de non-paiement fautif de l’amende. Cette ordonnance, envoyée à V.________ sous pli recommandé du 27 août 2021, a été retournée le 7 septembre 2021 au Ministère public avec la mention « non réclamé ». Par avis du 10 septembre 2021 (P. 7), le Ministère public a adressé à V.________ une copie de cette ordonnance sous pli simple, en attirant son attention sur le fait que cet envoi ne faisait pas courir un nouveau délai de recours ou d’opposition. B. V.________ a formé opposition à l’ordonnance pénale précitée le 21 septembre 2021. Par prononcé du 18 octobre 2021, le Tribunal de police de l’arrondissement de La Broye et du Nord vaudois a déclaré irrecevable l’opposition à l’ordonnance pénale du 27 août 2021 du Ministère public de l’arrondissement du Nord vaudois formée le 21 septembre 2021 par V.________ (I), a dit que l'ordonnance pénale rendue le 27 août 2021 par le Ministère public de l’arrondissement du Nord vaudois était exécutoire (II) et a rendu le prononcé sans frais (III). Le tribunal a relevé que V.________ savait qu'il était l'objet d'une procédure pénale et qu’il devait donc faire en sorte de prendre connaissance de la décision éventuelle. Le magistrat a constaté que l’ordonnance pénale avait été valablement notifiée le dernier jour du délai de garde postal, soit le 6 septembre 2021, de sorte que l’opposition intervenue le 21 septembre 2021 était tardive. C. Par acte du 29 octobre 2021, V.________ a interjeté un recours contre ce prononcé. Il n’a pas été ordonné d’échange d’écritures.</w:t>
      </w:r>
    </w:p>
    <w:p>
      <w:r>
        <w:t>- 3 -</w:t>
      </w:r>
    </w:p>
    <w:p>
      <w:r>
        <w:t>- 4 -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 Commentaire romand, Code de procédure pénale suisse, 2e éd., Bâle 2019, n. 5 ad art. 356 CPP ; Riklin, in : Niggli/Heer/Wiprächtiger [éd.], Basler Kommentar, Schweizerische Strafprozess-ordnung, Jugendstrafprozessordnung, 2e éd., Bâle 2014, n. 2 ad art. 356 CPP ; CREP 15 juillet 2021/652 ; CREP 8 octobre 2019/817).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En l’espèce, interjeté en temps utile devant l’autorité compétente par le prévenu qui a qualité pour recourir (art. 382 al. 1 CPP) et dans les formes prescrites (art. 385 al. 1 CPP), le recours est recevable. 2. 2.1 Le recourant soutient qu’il n’a pas reçu l’avis de retrait du pli recommandé contenant l’ordonnance pénale du 27 août 2021. Il explique qu’il était à l’étranger du 2 juillet au 23 août 2021 et que sa secrétaire, qui relevait le courrier en son absence, avait affirmé n’avoir reçu aucun envoi recommandé. Il met en doute la fiabilité du bureau de poste de Chavornay, évoquant une erreur d’acheminement d’un courrier recommandé que sa fille – qui habite dans le même immeuble que lui – avait envoyé en septembre 2021 à l’intention de l’Office cantonal des</w:t>
      </w:r>
    </w:p>
    <w:p>
      <w:r>
        <w:t>- 5 - bourses d’études et d’apprentissage, qui était parvenu au mauvais destinataire à Renens.</w:t>
      </w:r>
    </w:p>
    <w:p>
      <w:r>
        <w:t>- 6 - 2.2 2.2.1 La notification consiste à faire parvenir l'information dans la sphère de compétence du destinataire. Son existence ne peut être retenue que s'il est établi qu'une invitation à retirer un pli recommandé a bien été déposée dans la boite à lettres du destinataire. A cet égard,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 Dès lors que l'absence de remise de l'avis de retrait constitue un fait négatif, le destinataire ne doit pas en apporter la preuve stricte. Il suffit d'établir qu'il existe une vraisemblance prépondérante que des erreurs se soient produites lors de la notification (TF 2C_38/2009 du 5 juin 2009 consid. 4.1). 2.2.2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Selon l'art. 85 al. 4 let. a CPP, un prononcé est réputé notifié lorsque, expédié par lettre signature, il n'a pas</w:t>
      </w:r>
    </w:p>
    <w:p>
      <w:r>
        <w:t>- 7 -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(TF 6B_723/2020 du 2 septembre 2020 consid. 1.1.1 ; TF 6B_934/2018 du 9 novembre 2018 consid. 2.1 ; TF 6B_233/2017 du 12 décembre 2017 consid. 2.1 ;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TF 6B_314/2012 du 18 février 2013 consid. 1.3.1). Ainsi, la personne concernée doit s'attendre à la remise d'un prononcé lorsqu'elle est au courant qu'elle fait l'objet d'une instruction pénale au sens de l'art. 309 CPP (TF 6B_233/2017 du 12 décembre 2017 consid. 2.1 et les réf. cit.). Dès lors, un prévenu informé</w:t>
      </w:r>
    </w:p>
    <w:p>
      <w:r>
        <w:t>- 8 -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6B_233/2017 du 12 décembre 2017 consid. 2.1 et les réf. cit.). Il est donc tenu de relever son courrier ou, s'il s'absente de son domicile, de prendre des dispositions pour que celui-ci lui parvienne néanmoins ; cela signifie qu'il doit, le cas échéant, désigner un représentant, faire suivre son courrier, informer les autorités de son absence ou leur indiquer une adresse de notification (ATF 139 IV 228 consid. 1.1 ; CREP du 7 février 2019/102 consid 2.1). 2.2.3 L’opposition doit être remise au plus tard le dernier jour du délai à l’autorité pénale, à la Poste suisse, à une représentation consulaire ou diplomatique suisse ou, s’agissant de personnes détenues, à la direction de l’établissement carcéral (cf. art. 91 al. 2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2.3 En l’espèce, le recourant se borne à contester le dépôt de l'avis de retrait dans sa boîte aux lettres en émettant des hypothèses. Il ne signale aucune erreur concrète de distribution imputable au facteur. En particulier, il ne démontre pas que de telles méprises se seraient produites à répétition durant la période litigieuse (cf. TF 2C_38/2009 du 5 juin 2009 consid. 5.3). L'audition de la secrétaire du recourant, pour attester n'avoir pas vu d'avis de retrait, n'est pas de nature à livrer un éclairage différent sur d'éventuels dysfonctionnements de la distribution postale. De même, il ressort des éléments du dossier qu’une éventuelle faute de distribution dont la fille du recourant aurait été victime incombe à la Poste de Renens,</w:t>
      </w:r>
    </w:p>
    <w:p>
      <w:r>
        <w:t>- 9 - office distributeur et pas à celle de Chavornay. C’est également en vain que le recourant soutient que le recommandé a peut-être été distribué à quelqu’un d'autre puisque le pli est venu en retour à l'office du procureur. A défaut d'établir qu'il existe une vraisemblance prépondérante que des erreurs se soient produites lors de la notification, il y a lieu de présumer que l'employé postal a correctement inséré l'avis de retrait dans la boîte aux lettres du recourant le 30 août 2021 et que la date de ce dépôt - telle qu'elle figure dans le suivi d’acheminement « Track and Trace » de ce courrier (P. 11) - est exacte. Par ailleurs, il ressort du procès-verbal d’audition de V.________ du 15 juin 2021 que celui-ci a été informé par la police qu’il était prévenu dans le cadre d’une instruction préliminaire dirigée contre lui (PV aud. 2). En vertu de la jurisprudence susmentionnée, il devait donc s’attendre à recevoir notification de décisions, de sorte que les conditions de la fiction de notification posées par l’art. 85 al. 4 let. a CPP sont remplies. L’ordonnance pénale du 27 août 2021 a été adressée à l’intéressé le même jour, sous pli recommandé. Il ressort du suivi d’acheminement « Track and Trace » de ce courrier (P. 11) que l’avis de retrait a été déposé dans la boîte aux lettres de l’opposant le 30 août 2021. Le pli n’a toutefois pas été retiré dans le délai de garde postal, qui est arrivé à échéance le lundi 6 septembre 2021. Le délai de dix jours pour former opposition est ainsi arrivé à échéance le 16 septembre 2021. Datée du 21 septembre 2021 l’opposition de V.________ était donc manifestement tardive. C’est ainsi à bon droit que le Tribunal de police de l'arrondissement de la Broye et du Nord vaudois a déclaré irrecevable l’opposition formée par le recourant. Mal fondé, le recours doit donc être rejeté. 3. Il résulte de ce qui précède que le recours, manifestement mal fondé, doit être rejeté sans échange d'écritures (art. 390 al. 2 CPP) et le prononcé entrepris confirmé.</w:t>
      </w:r>
    </w:p>
    <w:p>
      <w:r>
        <w:t>- 10 - Les frais de la procédure de recours, par 770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18 octobre 2021 est confirmé. III. Les frais d’arrêt, par 770 fr. (sept cent septante francs), sont mis à la charge de V.________. IV. L’arrêt est exécutoire. Le président : La greffière :</w:t>
      </w:r>
    </w:p>
    <w:p>
      <w:r>
        <w:t>- 11 - Du Le présent arrêt, dont la rédaction a été approuvée à huis clos, est notifié, par l'envoi d'une copie complète, à : - Me Paul-Arthur Treyvaud, avocat (pour V.________), - Ministère public central, et communiqué à : - M. le Président du Tribunal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