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PE21.011590 vom 16. September 2021</w:t>
      </w:r>
    </w:p>
    <w:p>
      <w:r>
        <w:t>VD Tribunal cantonal, 2021-09-16, FR</w:t>
      </w:r>
    </w:p>
    <w:p>
      <w:r>
        <w:rPr>
          <w:b/>
        </w:rPr>
        <w:t xml:space="preserve">Quelle: </w:t>
      </w:r>
      <w:r>
        <w:t>https://mcp.opencaselaw.ch/entscheid/vd_gerichte_PE21.011590</w:t>
      </w:r>
    </w:p>
    <w:p>
      <w:r>
        <w:t>FR: VD_GERICHTE PE21.011590 du 16 septembre 2021</w:t>
      </w:r>
    </w:p>
    <w:p>
      <w:r>
        <w:t>IT: VD_GERICHTE PE21.011590 del 16 settembre 2021</w:t>
      </w:r>
    </w:p>
    <w:p>
      <w:pPr>
        <w:pStyle w:val="Heading2"/>
      </w:pPr>
      <w:r>
        <w:t>Volltext</w:t>
      </w:r>
    </w:p>
    <w:p>
      <w:r>
        <w:t>TRIBUNAL CANTONAL 866 PE21.011590-BDR CHAMBRE DE S RECO URS PEN ALE __________________________________________ Arrêt du 16 septembre 2021 __________________ Composition : M, PERROT, président M. Meylan et Mme Byrde, juges Greffière : Mme Choukroun ***** Art. 385 al. 1 CPP Statuant sur le recours interjeté le 9 août 2021 par L.________ contre l’ordonnance de non-entrée en matière rendue le 27 juillet 2021 par le Ministère public de l’arrondissement de Lausanne dans la cause n° PE21.011590-BDR, la Chambre des recours pénale considère : En fait : A. Par contrat du 17 mars 2021, Y.________ a vendu à L.________ une voiture Honda Civic Hybrid de 2008 pour la somme de 5'800 francs. Le contrat de vente, selon un modèle du TCS, précise que le véhicule est non accidenté et ne prévoit pas de garantie particulière. 351</w:t>
      </w:r>
    </w:p>
    <w:p>
      <w:r>
        <w:t>- 2 - Le véhicule serait tombé en panne le 28 mars 2021 et un diagnostic subséquent par un garage aurait révélé un défaut de signal de capteur de position du vilebrequin ainsi qu’une dégradation d’état de l’unité de batterie hybride. Le 2 avril 2021, L.________ a déposé plainte pénale contre Y.________ pour escroquerie et menaces. Il lui reprochait de lui avoir vendu un véhicule défectueux sans avoir indiqué le défaut, du fait que, selon le garage ayant procédé au diagnostic, le code défaut de la batterie aurait été préalablement effacé. En lui affirmant que le véhicule était dans un parfait état technique et qu’il n’y avait aucun travail à prévoir, le vendeur se serait implicitement rendu coupable d’escroquerie. Par ailleurs, L.________ affirmait que Y.________ lui aurait déclaré par téléphone « qu’il allait voir », s’il osait le rappeler encore une fois. B. Par ordonnance du 27 juillet 2021, le Ministère public de l’arrondissement de Lausanne a refusé d’entrer en matière (I), les frais de l’ordonnance étant laissés à la charge de l’Etat (II). Le Procureur a constaté que le véhicule avait été vendu sans garantie et donc « en l’état », comme il est d’usage entre particuliers et qu’il ressortait du rapport de police que le plaignant avait vraisemblablement fait examiner le véhicule par un garagiste avant de conclure le contrat de vente. Par ailleurs, en achetant en 2021 un véhicule de 2008 doté d’une motorisation hybride, le plaignant devait s’attendre à une certaine usure des batteries. Enfin, le véhicule était roulant lors de son acquisition. Le Procureur a dès lors retenu que les éléments constitutifs de l’escroquerie n’étaient pas réalisés, le litige entre les parties étant de nature exclusivement civile. Enfin, aucune mesure d’instruction ne paraissait à même de départager les versions contradictoires des parties s’agissant de l’infraction de menaces, Y.________ contestant avoir menacé le plaignant mais reconnaissant uniquement avoir bloqué son numéro d’appel.</w:t>
      </w:r>
    </w:p>
    <w:p>
      <w:r>
        <w:t>- 3 - C. Par acte non signé, reçu le 11 août 2021, L.________ a recouru auprès de la Chambre des recours pénale contre cette ordonnance. Dans le délai imparti par la direction de la procédure, l’intéressé a mis son écriture en conformité en signant son acte de recours. Par avis du 26 août 2021, la direction de la procédure a imparti au recourant un délai au 15 septembre 2021 pour effectuer un dépôt de 550 fr. à titre de sûretés, avec l'indication qu'à défaut de paiement en temps utile, il ne serait pas entré en matière sur son recours. Par courrier non daté, reçu le 13 septembre 2021, L.________ a demandé à être mis au bénéfice de l’assistance judiciaire. Par avis du 14 septembre 2021, le Président de la Cour de céans a dispensé le prénommé du versement des sûretés requises et a dit qu’une décision sur l’octroi de l’assistance judiciaire pour les frais de procédure serait rendue ultérieurement s’il y avait lieu. Il n’a pas été ordonné d’échange d’écritures. En d roit : 1.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 1.2 Le recours s’exerce par le dépôt d’un mémoire écrit et dûment motivé (art. 390 al. 1 et 396 al. 1 CPP). Les exigences de motivation du</w:t>
      </w:r>
    </w:p>
    <w:p>
      <w:r>
        <w:t>- 4 -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Donatsch/Lieber/Summers/Wohlers (édit.), Kommentar zur Schweizerischen Strafprozessordnung, 3e éd., Zurich/Bâle/Genève 2020, t. II, n. 2 ad art. 385 CPP). Ainsi, il doit indiquer dans quelle mesure et sous quel angle il entend critiquer l’établissement des faits ou l’application du droit (Calame, in : Jeanneret/ Kuhn/Perrier Depeursinge [éd.], Code de procédure pénale suisse, Commentaire romand,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w:t>
      </w:r>
    </w:p>
    <w:p>
      <w:r>
        <w:t>- 5 -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 1.3 En l’espèce, le recourant se borne à affirmer que le vendeur connaissait les défauts du véhicule avant de le lui vendre, sans démontrer en quoi des infractions seraient réalisées. Il n’y a aucun exposé, même succinct, qui s’en prenne à la motivation de l’ordonnance attaquée, le recourant ne contestant notamment pas avoir montré le véhicule à un garagiste avant de l’acheter. Autrement dit, le recourant n’explique pas en quoi, selon lui, les motifs factuels et juridiques sur lesquels le Ministère public a fondé sa décision seraient erronés ou en quoi ils ne devraient pas conduire à la reddition d’une ordonnance de non-entrée en matière. Le recours ne satisfait dès lors pas aux exigences de motivation de l’art. 385 CPP. 2. Au vu de ce qui précède, le recours doit être déclaré irrecevable. Le recourant requiert implicitement de pouvoir bénéficier de l'assistance judiciaire gratuite pour les frais de la procédure de recours. Cette requête doit toutefois être rejetée, dès lors que le recours était d'emblée voué à l'échec (CREP 30 novembre 2020/953 consid. 3 ; CREP 20 août 2014/587 consid. 3 et la référence citée). Les frais de la procédure de recours,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CPP).</w:t>
      </w:r>
    </w:p>
    <w:p>
      <w:r>
        <w:t>- 6 - Par ces motifs, la Chambre des recours pénale prononce : I. Le recours est irrecevable. II. La requête d’assistance judiciaire gratuite est rejetée. III. Les frais d’arrêt, par 550 fr. (cinq cent cinquante francs), sont mis à la charge de L.________. IV. L’arrêt est exécutoire. Le président : La greffière :</w:t>
      </w:r>
    </w:p>
    <w:p>
      <w:r>
        <w:t>- 7 - Du Le présent arrêt, dont la rédaction a été approuvée à huis clos, est notifié, par l'envoi d'une copie complète, à : -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