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PE21.011351 vom 10. Februar 2022</w:t>
      </w:r>
    </w:p>
    <w:p>
      <w:r>
        <w:t>VD Tribunal cantonal, 2022-02-10, FR</w:t>
      </w:r>
    </w:p>
    <w:p>
      <w:r>
        <w:rPr>
          <w:b/>
        </w:rPr>
        <w:t xml:space="preserve">Quelle: </w:t>
      </w:r>
      <w:r>
        <w:t>https://mcp.opencaselaw.ch/entscheid/vd_gerichte_PE21.011351</w:t>
      </w:r>
    </w:p>
    <w:p>
      <w:r>
        <w:t>FR: VD_GERICHTE PE21.011351 du 10 février 2022</w:t>
      </w:r>
    </w:p>
    <w:p>
      <w:r>
        <w:t>IT: VD_GERICHTE PE21.011351 del 10 febbraio 2022</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X.________ est recevable. Les pièces nouvelles sont également recevables, s’agissant d’un recours contre une ordonnance de non-entrée en matière, la partie ayant toute liberté de faire valoir ses moyens en deuxième instance (TF 6B_1014/2020 du 10 février 2021 consid. 2.1.2 et les réf. citées).</w:t>
      </w:r>
    </w:p>
    <w:p>
      <w:r>
        <w:rPr>
          <w:b/>
        </w:rPr>
        <w:t>E. 2.1</w:t>
      </w:r>
    </w:p>
    <w:p>
      <w:r>
        <w:t>Aux termes de l'art. 309 CPP, le Ministère public ouvre une instruction, notamment, lorsqu'il ressort du rapport de police, des</w:t>
      </w:r>
    </w:p>
    <w:p>
      <w:r>
        <w:t>- 6 -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w:t>
      </w:r>
    </w:p>
    <w:p>
      <w:r>
        <w:t>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et 307 al. 2 CPP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CPP (TF 6B_940/2016 du 6 juillet 2017 consid. 3.3.2 et les références citées). En revanche, le Ministère public ne peut pas rendre une ordonnance de non-entrée en matière après avoir ouvert une instruction au sens de l'art. 309 CPP (TF 6B_1365/2017 du 27 juin 2018 consid. 3.3).</w:t>
      </w:r>
    </w:p>
    <w:p>
      <w:r>
        <w:rPr>
          <w:b/>
        </w:rPr>
        <w:t>E. 2.3</w:t>
      </w:r>
    </w:p>
    <w:p>
      <w:r>
        <w:t>Selon l’art. 310 al. 1 let. a CPP, il importe que les éléments constitutifs de l'infraction ne soient manifestement pas réunis. Cette disposition doit être appliquée conformément à l'adage « in dubio pro duriore », qui découle du principe de la légalité (art. 5 al. 1 Cst.</w:t>
      </w:r>
    </w:p>
    <w:p>
      <w:r>
        <w:t>- 7 - [Constitution fédérale de la Confédération suisse du 18 avril 1999 ; RS 101] et art. 2 al. 2 CPP ;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2.4</w:t>
      </w:r>
    </w:p>
    <w:p>
      <w:r>
        <w:t>Aux termes de l'art. 139 ch. 1 CP, se rend coupable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En outre, pour qu'il y ait vol, il faut que l'auteur soustraie la chose à autrui, c'est-à- dire qu'il brise la possession d'autrui pour constituer une nouvelle possession sur la chose (ATF 132 IV 108 consid. 2.1 p. 110).</w:t>
      </w:r>
    </w:p>
    <w:p>
      <w:r>
        <w:t>- 8 -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(ATF 85 IV 17 consid. 1 p. 19). Il agit dans un dessein d'enrichissement illégitime s'il a pour but de tirer lui-même de la chose, ou de permettre à un tiers d'en tirer un profit qui devrait normalement revenir au propriétaire ou au possesseur légitime (ATF 111 IV 74 consid. 1 p. 75 s.; Corboz, Les infractions en droit suisse, vol. I, 2010, nos 8-11 ad art. 139 CP, p. 251).</w:t>
      </w:r>
    </w:p>
    <w:p>
      <w:r>
        <w:rPr>
          <w:b/>
        </w:rPr>
        <w:t>E. 2.5</w:t>
      </w:r>
    </w:p>
    <w:p>
      <w:r>
        <w:t>En l’espèce, force est de constater que le litige entre les parties apparaît comme étant de nature civile, relatif à des travaux de construction, au cours desquels R.________ a voulu récupérer du matériel (comprenant notamment de la robinetterie) qu’elle avait fourni et qui n’avait pas encore été posé, alors que X.________ prétendait que la marchandise lui appartenait, ayant payé bien plus que ce qu’elle devait à l’entreprise belge, ce qui l’avait conduit à placer ce matériel sous clé. C’est dans ce contexte que R.________ et X.________ ont déposé plainte et contre-plainte, respectivement pour vol et tentative de vol, chacune s’estimant la légitime propriétaire du matériel en cause. La question qui se pose est donc celle de savoir si, après livraison et paiement, mais avant installation, le matériel fourni par l’entrepreneur demeure ou non propriété du maître d’ouvrage, et, plus particulièrement si, in casu, le droit belge, auquel était soumis le contrat, est applicable sur ce point. Or, il appartiendra au juge civil de trancher cette question. D’ailleurs, comme relevé ci-avant, X.________ a, en novembre 2021, déposé une demande en paiement en Belgique, faisant notamment valoir qu’elle (X.________) avait dû faire appel à la police suisse « pour éviter la soustraction frauduleuse par la citée (ndr : R.________) d’équipements livrés sur le chantier et payés par la requérante, laquelle</w:t>
      </w:r>
    </w:p>
    <w:p>
      <w:r>
        <w:t>- 9 - en était devenue propriétaire » (P. 13/2). Le principe in dubio pro duriore ne trouve ainsi pas application en l’occurrence. Pour le surplus, en l’état et dans les circonstances du cas d’espèce, le fait de récupérer, sur un chantier, du matériel non installé, ne constitue pas un indice suffisant d’infraction de vol. Le dossier ne contient pas non plus d’élément concret permettant de constater, à ce stade, que le comportement de la société R.________ réaliserait les conditions d’une quelconque autre infraction pénale. Il appartiendra au juge civil de saisir, le cas échéant, le procureur s’il devait apparaître que l’une ou l’autre des parties a commis une éventuelle infraction dans le cadre de leurs relations contractuelles. Par ailleurs, rien ne laisse supposer que l’instruction aurait été matériellement ouverte à ce stade et la procédure n’a donc pas dépassé les premières investigations qui sont accomplies de manière usuelle par la police (art. 309 CPP), aucune décision formelle d'ouverture d'une instruction n'ayant été rendue par le Ministère public avec la mention du prévenu et des infractions qui lui seraient imputées, comme le prévoit l'art. 309 al. 3 CPP, et aucune mesure de contrainte n'a été ordonnée. C’est donc à juste titre que le procureur a décidé, en l’état, de ne pas entrer en matière sur la plainte.</w:t>
      </w:r>
    </w:p>
    <w:p>
      <w:r>
        <w:rPr>
          <w:b/>
        </w:rPr>
        <w:t>E. 3</w:t>
      </w:r>
    </w:p>
    <w:p>
      <w:r>
        <w:t>En définitive, le recours doit être rejeté et l’ordonnance attaquée confirmée. Les frais de la procédure de recours, constitués du seul émolument d’arrêt, par 990 fr. (art. 20 al. 1 TFIP [tarif des frais de procédure et indemnités en matière pénale du 28 septembre 2010 ; RSV 312.03.1]), seront mis à la charge de la recourante, qui succombe (art. 428 al. 1 CPP).</w:t>
      </w:r>
    </w:p>
    <w:p>
      <w:r>
        <w:t>- 10 - Par ces motifs, la Chambre des recours pénale prononce : I. Le recours est rejeté. II. L’ordonnance du 16 décembre 2021 est confirmée. III. Les frais d’arrêt, par 990 fr. (neuf cent nonante francs), sont mis à la charge de X.________. IV. L’arrêt est exécutoire. Le président : Le greffier : Du Le présent arrêt, dont la rédaction a été approuvée à huis clos, est notifié, par l'envoi d'une copie complète, à : - Me Ludovic Tirelli, avocat (pour X.________), - Ministère public central, et communiqué à : - M. le Procureur de l’arrondissement de Lausanne, - 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