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PE21.011346 vom 7. Juli 2021</w:t>
      </w:r>
    </w:p>
    <w:p>
      <w:r>
        <w:t>VD Tribunal cantonal, 2021-07-07, FR</w:t>
      </w:r>
    </w:p>
    <w:p>
      <w:r>
        <w:rPr>
          <w:b/>
        </w:rPr>
        <w:t xml:space="preserve">Quelle: </w:t>
      </w:r>
      <w:r>
        <w:t>https://mcp.opencaselaw.ch/entscheid/vd_gerichte_PE21.011346</w:t>
      </w:r>
    </w:p>
    <w:p>
      <w:r>
        <w:t>FR: VD_GERICHTE PE21.011346 du 7 juillet 2021</w:t>
      </w:r>
    </w:p>
    <w:p>
      <w:r>
        <w:t>IT: VD_GERICHTE PE21.011346 del 7 luglio 2021</w:t>
      </w:r>
    </w:p>
    <w:p>
      <w:pPr>
        <w:pStyle w:val="Heading2"/>
      </w:pPr>
      <w:r>
        <w:t>Erwägungen</w:t>
      </w:r>
    </w:p>
    <w:p>
      <w:r>
        <w:rPr>
          <w:b/>
        </w:rPr>
        <w:t>E. 5.1</w:t>
      </w:r>
    </w:p>
    <w:p>
      <w:r>
        <w:t>Le recourant invoque finalement une violation du principe de la proportionnalité. Il soutient que le prononcé d’une interdiction de contacter et d’approcher ses victimes suffirait à garantir l’intégrité de l’enquête et la sécurité de ces dernières.</w:t>
      </w:r>
    </w:p>
    <w:p>
      <w:r>
        <w:rPr>
          <w:b/>
        </w:rPr>
        <w:t>E. 5.2</w:t>
      </w:r>
    </w:p>
    <w:p>
      <w:r>
        <w:t>Conformément au principe de la proportionnalité (art. 36 al. 3 Cst.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w:t>
      </w:r>
    </w:p>
    <w:p>
      <w:r>
        <w:t>- 12 -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ATF 133 I 270 consid. 2.2 ; Coquoz, in : Jeanneret/Kuhn/Perrier Depeursinge [éd.], op. cit., n. 2 ad art. 237 CPP). L'art. 237 al. 3 CPP précise que, pour surveiller l'exécution de ces mesures, le tribunal peut ordonner l'utilisation d'appareils techniques qui peuvent être fixés à la personne sous surveillance.</w:t>
      </w:r>
    </w:p>
    <w:p>
      <w:r>
        <w:rPr>
          <w:b/>
        </w:rPr>
        <w:t>E. 5.3</w:t>
      </w:r>
    </w:p>
    <w:p>
      <w:r>
        <w:t>En l’espèce, les mesures de substitution proposées par le recourant ne sont pas susceptibles de pallier les risques de collusion et de réitération retenus. La seule interdiction de contacter et d’approcher les jeunes femmes est insuffisante et aucune autre mesure de substitution ne parait envisageable pour empêcher les risques retenus de se concrétiser, d’autant plus que l’identification et l’audition des autres victimes n’a pas encore pu aboutir. Pour le surplus, la durée de la détention demeure conforme au principe de proportionnalité du point de vue de sa durée (art. 212 al. 3 CPP), compte tenu des mesures d’instruction en cours et de la peine</w:t>
      </w:r>
    </w:p>
    <w:p>
      <w:r>
        <w:t>- 13 - susceptible d’être prononcée, au vu des infractions reprochées au recourant.</w:t>
      </w:r>
    </w:p>
    <w:p>
      <w:r>
        <w:rPr>
          <w:b/>
        </w:rPr>
        <w:t>E. 6</w:t>
      </w:r>
    </w:p>
    <w:p>
      <w:r>
        <w:t>Il résulte de ce qui précède que le recours, manifestement mal fondé, doit être rejeté sans échange d’écritures (art. 390 al. 2 CPP) et l'ordonnance attaquée confirmée. Au vu du mémoire de recours produit, l’indemnité allouée au défenseur d’office de J.________ sera fixée à 396 fr. en chiffres arrondis, correspondant à une activité nécessaire d’avocat de 2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7 fr. 20, plus la TVA au taux de 7,7 %, par 28 fr. 25. Les frais de la procédure de recours, constitués en l’espèce de l’émolument d'arrêt, par 1’320 fr. (art. 20 al. 1 TFIP), et des frais imputables à la défense d’office (art. 422 al. 1 et 2 let. a CPP), fixés à 396 fr., seront mis à la charge du recourant, qui succombe (art. 428 al. 1 CPP). Le remboursement à l’Etat de l’indemnité allouée au défenseur d’office du recourant ne sera toutefois exigible que pour autant que la situation financière de ce dernier le permette (art. 135 al. 4 let. a CPP). Par ces motifs, la Chambre des recours pénale prononce : I. Le recours est rejeté. II. L’ordonnance du 28 juin 2021 est confirmée.</w:t>
      </w:r>
    </w:p>
    <w:p>
      <w:r>
        <w:t>- 14 - III. L'indemnité allouée au défenseur d'office de J.________ est fixée à 396 fr. (trois cent nonante-six francs). IV. Les frais d'arrêt, par 1’320 fr. (mille trois cent vingt francs), ainsi que l'indemnité allouée au défenseur d'office du recourant, par 396 fr. (trois cent nonante-six francs), sont mis à la charge de J.________. V. Le remboursement à l'Etat de l’indemnité allouée au chiffre III ci-dessus ne sera exigible que pour autant que la situation financière de J.________ le permette. VI. L’arrêt est exécutoire. Le président : La greffière : Du Le présent arrêt, dont la rédaction a été approuvée à huis clos, est notifié, par l'envoi d'une copie complète, à : - Me Marc Cheseaux, avocat (pour J.________), - Ministère public central, et communiqué à : - Mme la Présidente du Tribunal des mesures de contrainte, - M. le Procureur du Ministère public de l’arrondissement de Lausanne, par l’envoi de photocopies.</w:t>
      </w:r>
    </w:p>
    <w:p>
      <w:r>
        <w:t>- 15 -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