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PE21.011286 vom 29. September 2022</w:t>
      </w:r>
    </w:p>
    <w:p>
      <w:r>
        <w:t>VD Tribunal cantonal, 2022-09-29, FR</w:t>
      </w:r>
    </w:p>
    <w:p>
      <w:r>
        <w:rPr>
          <w:b/>
        </w:rPr>
        <w:t xml:space="preserve">Quelle: </w:t>
      </w:r>
      <w:r>
        <w:t>https://mcp.opencaselaw.ch/entscheid/vd_gerichte_PE21.011286</w:t>
      </w:r>
    </w:p>
    <w:p>
      <w:r>
        <w:t>FR: VD_GERICHTE PE21.011286 du 29 septembre 2022</w:t>
      </w:r>
    </w:p>
    <w:p>
      <w:r>
        <w:t>IT: VD_GERICHTE PE21.011286 del 29 settembre 2022</w:t>
      </w:r>
    </w:p>
    <w:p>
      <w:pPr>
        <w:pStyle w:val="Heading2"/>
      </w:pPr>
      <w:r>
        <w:t>Erwägungen</w:t>
      </w:r>
    </w:p>
    <w:p>
      <w:r>
        <w:rPr>
          <w:b/>
        </w:rPr>
        <w:t>E. 16</w:t>
      </w:r>
    </w:p>
    <w:p>
      <w:r>
        <w:t>février 2022 consid. 3.1). 3. 3.1 L’appelante conteste les faits qui lui sont reprochés, soutenant qu’il subsiste un doute sur le fait que ce sont ses chiens qui ont attaqué et causé la mort du chat du plaignant. Elle se prévaut d’un établissement manifestement inexact des faits, invoque une violation du principe in dubio pro reo et critique l’appréciation des preuves du premier juge qu’elle qualifie d’arbitraire. 3.2 3.2.1 Le premier juge a tenu pour établi que les deux chiens de l’appelante s’étaient échappés de sa propriété de [...], sise à la route [...], le soir du 8 décembre 2020 et qu’ils avaient été retrouvés chez B.________ à [...], au chemin [...], vers 21 heures 45, ce qui n’a pas été contesté par I.________ (P. 6 p. 2 ; PV aud. 2 ll. 33-34).</w:t>
      </w:r>
    </w:p>
    <w:p>
      <w:r>
        <w:t>- 7 - A l’instar du premier juge, il est également tenu pour acquis que le chat de H.________ a été tué par deux grands chiens blancs le 8 décembre 2020, aux alentours de 21 heures. Les déclarations du plaignant ont été très précises à cet égard. Il a expliqué que, le soir des faits, lui- même et son épouse avaient remarqué la présence, dans leur jardin, de deux grands chiens blancs, type Montagne des Pyrénées, agressifs et tous crocs dehors, son épouse ayant du reste vu un des chiens saisir le chat dans sa gueule, puis le secouer violemment, après que le chat s’était caché sous une bâche et avait tenté de fuir (P. 4 p. 4 ; P. 6 p. 3 ; jugement p. 5). Le chat a été retrouvé mort le lendemain matin, victime des morsures qui lui avaient été infligées, comme en attestent les photographies produites au dossier (PV aud. 1, annexes). Sur ces points, les déclarations du plaignant ont été étayées par celles de son voisin D.________ qui, interrogé aux débats de première instance, a déclaré avoir également vu les chiens de la prévenue qui erraient dans le quartier vers</w:t>
      </w:r>
    </w:p>
    <w:p>
      <w:r>
        <w:rPr>
          <w:b/>
        </w:rPr>
        <w:t>E. 21</w:t>
      </w:r>
    </w:p>
    <w:p>
      <w:r>
        <w:t>heures le soir en question et qui couraient dans son jardin (jugement p. 6). De plus, selon le journal des événements de police (P. 17/9), D.________ a contacté la police à 21h23 pour lui signaler que deux gros chiens blancs erraient dans [...] (P. 4 p. 4). Aussi, les déclarations de l’appelante selon lesquelles elle aurait laissé sortir ses chiens de la maison vers 21h30 doivent être écartées. 3.2.2 L’appelante persiste à se prévaloir de l’hypothèse selon laquelle les faits du 8 décembre 2020 pourraient avoir été causés par un autre couple de grands chiens blancs, errant dans les environs et auteur d’une précédente agression durant l’été 2020. Elle argue à cet égard d’une précédente agression qui se serait déroulée à [...] en été 2020, sans que les chiens en cause aient été identifiés. L’hypothèse avancée par l’appelante ne résiste pas à l’examen. Certes, contrairement à ce que le premier juge a retenu, il paraît que, lorsqu’elle s’est exprimée aux débats sur l’événement qui aurait eu lieu en été 2020, la prévenue n’entendait pas à cet égard faire référence à l’agression dont avait été victime M.________ le 8 juin 2018 mentionnée dans le dossier de la Direction générale de l’agriculture, de la</w:t>
      </w:r>
    </w:p>
    <w:p>
      <w:r>
        <w:t>- 8 - viticulture et des affaires vétérinaires (ci-après : DGAV), Affaires vétérinaires, Police des chiens (P. 23), mais à celle de K.________ évoquée par le témoin D.________ dans l’annonce qu’il avait adressée à la DGAV le 10 décembre 2020 (P. 31/1). Il peut également être donné acte à l’appelante que le dossier ne fait état d’aucune plainte pénale ou d’autre document en lien avec une agression qui aurait concerné le dénommé K.________ durant l’été 2020. Ces éléments ne suffisent toutefois pas encore à rendre vraisemblable l’existence d’un autre couple de chiens blancs qui errerait dans les environs de [...] et [...], d’autant que le dossier ne contient aucun autre témoignage ou signalement allant dans le sens d’une telle présence, que ce soit avant, pendant ou après les faits incriminés. Outre qu’il a pu être établi que les chiens [...] et [...] se sont effectivement échappés de la propriété de l’appelante le soir des faits, comme cela avait déjà été le cas en janvier 2020 (P. 17/8), et qu’il n’est donc nullement exclu qu’ils aient également fui la propriété en été 2020 pour s’en prendre à K.________ comme le soutient le témoin D.________ (jugement p. 6), il ne saurait être fait abstraction qu’antérieurement au 8 décembre 2020, ces mêmes chiens avaient été impliqués dans, à tout le moins, deux agressions répertoriées par la police, alors qu’ils avaient échappé à la surveillance de leurs maîtres. On relèvera en particulier l’attaque d’M.________ par les chiens [...] et [...] le 9 juin 2018 déjà évoquée, lors de laquelle le chat de la famille avait été tué, et qui avait donné lieu à la condamnation de [...], fils de l’appelante, par ordonnance pénale du 30 novembre 2018 (P. 12), pour avoir laissé les chiens sans surveillance et avoir enfreint l’art. 16 al. 2 LPolC (Loi vaudoise sur la police des chiens du 31 octobre 2006 ; BLV 133.75). Il ressort en outre du rapport de police du 10 novembre 2014 (annexe à P. 23) que les deux mêmes chiens avaient déjà quitté le jardin de l’appelante le 6 novembre 2014, erré dans le quartier et mordu sans raison deux policiers intervenus sur place, alors que ces derniers s’étaient comportés de manière parfaitement adéquate et n’avaient effectué aucun geste brusque. De plus, des chiens de la race Kuwasz propriété de l’appelante avaient déjà mordu des êtres humains le 31 décembre 2010 (P. 17/1) et le 31 juillet 2012 (P. 23).</w:t>
      </w:r>
    </w:p>
    <w:p>
      <w:r>
        <w:t>- 9 - L’appelante allègue encore qu’aucune preuve n’a été administrée concernant le registre Amicus, base de données dans laquelle tous les chiens vivant en Suisse sont enregistrés avec le nom de leur détenteur. Il apparaît néanmoins que la police a consulté ce registre avant d’établir son rapport d’investigation du 16 juin 2021 (P. 4). Il a ainsi été établi que, dans les communes et les localités des environs ([...], [...], [...], [...], [...], [...], [...], [...], [...], [...], [...], [...], [...], [...], [...], [...] et [...]), aucune personne n’était détentrice de plusieurs chiens de race Kuwasz, ni de race de Montagne des Pyrénées, race semblable à la première, hormis l’appelante qui détenait quatre Kuwasz. Du reste, aucun chien de race Kuwasz, mis à part ceux de l’appe- lante, ne résidait dans les localités précitées et cinq chiens de race Montagne des Pyrénées y résidaient, mais isolément. De plus, selon le journal des événements de police, mis à part à [...], aucun gros chien blanc de ce type n'a été vu errer dans la région le jour des faits, ni même ailleurs dans le canton de Vaud (P. 4). Cela étant relevé, aucun élément au dossier ne permet de déduire que les recherches effectuées par la police seraient dénuées de sérieux ou de crédibilité. L’appelante reproche aussi au premier juge d’avoir ignoré le fait, constaté par la police, que ses chiens avaient été retrouvés totalement calmes et sans aucune trace de sang. Cette circonstance, qui n’est pas propre à exclure que les chiens ont adopté un tout autre comportement quelques 45 minutes auparavant, est sans pertinence. Comme déjà dit, les déclarations de l’appelante quant à l’heure à laquelle elle aurait laissé sortir ses chiens, soit 21 heures 30, ne sont pas plus relevantes, celles-ci n’étant nullement étayées par un quelconque moyen de preuve et étant contredites par les déclarations du témoin D.________ et par le journal des événements de police (P. 17/9). Pour le reste, l’appelante ne tente pas de remettre en cause les déclarations du plaignant quant aux circonstances de la mort de son chat, confirmées à cet égard par celles du témoin D.________, qui ont toutes été tenues pour crédibles par le premier juge.</w:t>
      </w:r>
    </w:p>
    <w:p>
      <w:r>
        <w:t>- 10 - En conséquence, l’appelante ne démontre pas que l’établissement des faits serait manifestement inexact, ni que le Tribunal de police aurait versé dans l’arbitraire en retenant que ses chiens [...] et [...] avaient causé la mort du chat du plaignant, après s’être retrouvé à errer hors de sa propriété. De même, au regard des éléments pris en considération, qui reflètent un faisceau d’indices convergents propres à ôter tout doute et à ainsi emporter la conviction quant à l’implication des deux chiens prénommés de l’appelante dans les faits litigieux, le Tribunal de police n’a pas non plus violé la présomption d’innocence de l’appelante. 4. 4.1 L’appelante conteste sa condamnation fondée sur l’art. 77 al. 1 LFaune. Elle invoque une violation de l’art. 12 al. 3 CP, niant avoir commis une quelconque négligence ou avoir eu un comportement blâmable. 4.2 4.2.1 Aux termes de l’art. 77 al. 1 LFaune, celui qui, intentionnellement ou par négligence, contrevient à la présente loi ou à ses dispositions d'application sera puni de l'amende, sans préjudice de l'obligation de réparer le dommage causé. Conformément à l’art. 20 al. 1 LFaune, il est interdit de laisser errer les chiens. A teneur de l’art. 56 al. 1 CO (Code des obligations, Loi fédérale complétant le Code civil suisse du 30 mars 2011 ; RS 220), en cas de dommage causé par un animal, la personne qui le détient est responsable, si elle ne prouve qu’elle l’a gardé et surveillé avec toute l’attention commandée par les circonstances ou que sa diligence n’eût pas empêché le dommage de se produire. 4.2.2 Selon l’art. 12 al. 3 CP, agit par négligence quiconque, par une imprévoyance coupable, commet un crime ou un délit sans se rendre</w:t>
      </w:r>
    </w:p>
    <w:p>
      <w:r>
        <w:t>- 11 - compte des conséquences de son acte ou sans en tenir compte. L'imprévoyance est coupable quand l'auteur n'a pas usé des précautions commandées par les circonstances et par sa situation personnelle.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Jdt 2018 IV 31 ; ATF 135 IV 56 consid. 2.1 et réf. cit.). Pour déterminer plus précisément les devoirs imposés par la prudence, on peut se référer à des normes édictées par l'ordre juridique pour assurer la sécurité et éviter des accidents (ATF 143 IV 138 consid. 2.1). La violation des devoirs de la prudence peut aussi être déduite des principes généraux, si aucune règle spéciale de sécurité n'a été violée (ATF 135 IV 56 consid. 2.1). Un comportement viole le devoir de prudence lorsque l'auteur, au moment des faits, aurait pu, compte tenu de ses connaissances et de ses capacités, se rendre compte de la mise en danger d'autrui et qu'il a simultanément dépassé le risque admissible (ATF 143 IV 138 consid. 2.1 ; ATF 135 IV 56 consid. 2.1 p. 64 et réf. cit.). S'il y a eu violation des règles de la prudence, encore faut-il que celle-ci puisse être imputée à faute, c'est-à-dire que l'on puisse reprocher à l'auteur, compte tenu de ses circonstances personnelles, d'avoir fait preuve d'un manque d'effort blâmable (ATF 145 IV 154 consid. 2.1 ; ATF 135 IV 56 consid. 2.1). 4.3 En l’espèce, il est constant que, depuis 2012, la propriété de l’appelante, d’une surface comprise entre 5'000 et 6'000 m2, est entièrement clôturée par un grillage d’une hauteur de 1,6 mètres, similaire à celui installé au bord des autoroutes, électrifié à son sommet ainsi qu’au sol. Quant au portail de l’entrée principale de la propriété, il est verrouillé au moyen d’une chaîne et d’un cadenas pour motocycles. A l’instar du premier juge, il y a lieu de retenir que les chiens de l’appelante ont forcément dû franchir le portail pour quitter la propriété.</w:t>
      </w:r>
    </w:p>
    <w:p>
      <w:r>
        <w:t>- 12 - Le raisonnement du premier juge, selon lequel les chiens de l’appelante avaient pu s’échapper de sa propriété parce que la chaîne- cadenas avait été sectionnée par une personne malintentionnée, ne relève pas d’une appréciation arbitraire des moyens de preuve. L’appelante a contacté la police le lendemain des faits pour lui signaler que le cadenas du portail d’entrée avait été sectionné et qu’elle l’avait retrouvé par terre (P. 6 p. 3), et la trace de la plainte pénale no 1783199 déposée le 10 décembre 2020 par l’époux de l’appelante quant à des dommages causés à la chaîne-cadenas de son portail se trouve effectivement au dossier (P. 16). On observe tout de même que le dépôt de la plainte pourrait avoir consacré une démarche entreprise de manière opportune par l’appelante et son époux pour tenter de se dédouaner de toute responsabilité quant à la fuite des deux chiens de la prévenue le soir des faits. Il convient en particulier de relever que la plainte no 1783199 déposée en ligne par Y.________ a été établie le 10 décembre 2020, soit postérieurement à l’attaque du chat du plaignant, alors que la date inscrite à la main par celui-ci à côté de sa signature était le 8 décembre 2020 et que Y.________ y avait indiqué que les dégâts avaient eu lieu le 6 décembre 2020, soit deux jours avant l’attaque litigieuse. Le 8 mars 2021, Y.________ a précisé sa plainte et expliqué que les dégâts avaient eu lieu le 8 décembre 2020 (P. 16). Aussi, devant ce qui paraît constituer des incohérences temporelles, il est permis de douter de la véracité des faits dénoncés. On voit du reste mal quel pourrait avoir été le mobile du tiers malintentionné, alors que la plainte déposée ne fait état d’aucun élément laissant supposer une tentative de cambriolage, l’appelante et son époux n’ayant pour leur part pas prétendu avoir été absents le soir des faits ou avoir éteint les lumières, rendant l’éventualité d’un cambriolage avorté d’autant moins probable. L’hypothèse d’un acte visant à délibérément laisser s’échapper les chiens ou d’un acte purement gratuit apparaît tout aussi peu vraisemblable, notamment dans la mesure où les pièces au dossier ne font pas état de procédés similaires entrepris dans les environs au moment de faits. On ne saurait en particulier suivre l’appelante lorsqu’elle prétend dans sa déclaration d’appel (p. 6), de manière très audacieuse,</w:t>
      </w:r>
    </w:p>
    <w:p>
      <w:r>
        <w:t>- 13 - que le tiers responsable de l’ouverture du portail pourrait avoir été le détenteur du couple de chiens inconnus impliqués dans l’accident du 8 décembre 2020. Dans un tel contexte, les hypothèses d’un oubli ou d’une mauvaise installation de la chaîne-cadenas, par l’appelante, son époux ou un autre membre de la famille, étaient tout au moins aussi envisageables que celle d’un acte malveillant commis par un tiers. Pour autant, comme l’a estimé le Tribunal de police, même à retenir l’intervention d’un tiers qui aurait sectionné le cadenas et permis aux chiens de s’échapper par le portail, une négligence doit être imputée à l’appelante, propriétaire des chiens, quant à l’errance des chiens constatée le 8 décembre 2020. Il est en effet constant que les chiens de l’appelante ont adopté à plusieurs reprises un comportement dangereux et qu’ils ont une forte propension à s’enfuir, ce qui avait nécessité l’intervention du Service de la consommation et des affaires vétérinaires (ci-après : SCAV), en tout cas en 2014 – agression de deux policiers – et en 2018 – agression d’un voisin de l’appelante, puis du chat de celui-ci, tué par les chiens – (P. 21/1), et que le dossier fait état d’une autre errance, à tout le moins, en janvier 2020 (P. 17/8). Ces circonstances imposaient à l’appelante des devoirs de prudence accrus pour éviter toute nouvelle fuite de ses chiens et tout dommage causé par ces derniers. Certes, on peut admettre le caractère adéquat de la clôture électrifiée entourant l’entier de la propriété, une telle installation paraissant avoir été approuvée par le SCAV dans le cadre de ses interventions antérieures aux faits du 8 décembre 2020. Il n’en demeure pas moins que le verrouillage du portail était pour sa part manifestement insuffisant puisqu’un tiers malintentionné a pu aisément sectionner le cadenas, ce comme à plusieurs reprises par le passé, ainsi que l’appelante l’a confirmé aux débats (jugement p. 4). La prévenue ne pouvait donc qu’avoir conscience du risque d’une fuite de ses chiens en cas de nouveau sabotage du cadenas. Il importe du reste peu que le SCAV ne lui ait pas fait de remarques explicites quant à l’insuffisance du verrouillage du</w:t>
      </w:r>
    </w:p>
    <w:p>
      <w:r>
        <w:t>- 14 - portail, alors qu’il n’est au demeurant pas établi que ce service ait eu connaissance du caractère répété des actes de sabotage commis. Aussi, quoi qu’en dise l’appelante, en sa qualité de détentrice, elle demeurait responsable de la garde et de la surveillance adéquates de ses animaux (cf. art. 56 CO), sans qu’elle puisse valablement se décharger en reportant cette responsabilité sur le SCAV, dont on comprend que les interventions visaient un but essentiellement préventif. Cela étant, au regard des circonstances décrites ci-avant, l’insuffisance du verrouillage du portail de la propriété de l’appelante doit lui être imputée à faute. Il apparaît ainsi que, par les mesures supplémentaires entreprises par l’appelante depuis le 8 décembre 2020 – introduction d’un système de localisation GPS dans les colliers de ses chiens, couplé à un système d’alarme, à l’installation d’une seconde clôture électrique à moutons à l’intérieur de la propriété limitant l’accès des chiens à la zone définie par celle-ci et au remplacement du cadenas par de grosses chaînes – telles que décrites aux débats par [...], inspectrice à la police des chiens (jugement p. 7), l’appelante a implicitement reconnu que les mesures qui étaient en place au moment des faits étaient insuffisantes, ce dont, encore une fois, elle ne pouvait qu’avoir conscience, compte tenu de la puissance de ses chiens et de l’agressivité dont ceux-ci avaient déjà fait preuve à plusieurs reprises envers des êtres humains et un chat depuis 2010. Enfin, dès lors que des actes de sabotage du cadenas avaient déjà été commis par le passé, l’appelante ne saurait valablement plaider que l’intervention d’un tiers mal intentionné constituait un événement extraordinaire imprévisible au point d’interrompre le lien de causalité entre la violation des devoirs de prudence de l’appelante et l’agression survenue. Dans ces circonstances, c’est bien en raison d’une imprévoyance coupable de l’appelante que les chiens [...] et [...] ont pu s’échapper de sa propriété, avant d’errer dans les localités de [...] et de [...] et de s’en prendre au chat du plaignant. La condamnation d’I.________ pour contravention à la LFaune commise par négligence (art. 20 al. 1 et 77 al. 1 LFaune) doit ainsi être confirmée.</w:t>
      </w:r>
    </w:p>
    <w:p>
      <w:r>
        <w:t>- 15 - 5. L’appelante ne conteste pas en tant que telle l’amende de 500 fr. qui lui a été infligée par le premier juge. Celle-ci doit toutefois être vérifiée d’office. En tout état, contrairement à ce que le premier juge a retenu, on ne saurait considérer que la culpabilité de l’appelante n’était que très légère. Bien au contraire, afin de tenir compte du fait que les chiens avaient déjà échappé à plusieurs reprises à l’attention de la prévenue, sa culpabilité aurait dû être qualifiée de lourde, dès lors que l’appelante a, par son comportement, fait montre d’un flagrant manque de sérieux dans la surveillance de ses animaux. Par ses dénégations exprimées tout au long de la procédure, elle ne paraît du reste pas avoir pleinement pris conscience de la gravité des dommages causés par les chiens de grande taille dont elle a la responsabilité, ainsi que de leur dangerosité avérée. Il ne faut ainsi pas perdre de vue que, si les chiens de l’appelante ont en l’occurrence attaqué un chat, ils auraient tout aussi bien pu s’en prendre à un être humain, en particulier à un enfant. Partant, l’amende de 500 fr. infligée par le premier juge paraît particulièrement clémente. Une amende de l’ordre de 1'500 fr., à l’instar de celle fixée par le Procureur dans son ordonnance pénale du 6 décembre 2021, aurait été plus adéquate. Néanmoins, la juridiction d’appel étant liée par le principe de l’interdiction de la reformatio in pejus (cf. art. 391 al. 2 CPP), l’amende de 500 fr. sera confirmée. 6. La condamnation de l’appelante étant confirmée, il n'y a pas lieu d'entrer en matière sur sa demande d'indemnité au sens de l'art. 429 CPP.</w:t>
      </w:r>
    </w:p>
    <w:p>
      <w:r>
        <w:t>- 16 - 7. En définitive, l’appel interjeté par I.________ doit être rejeté et le jugement entrepris confirmé. Les frais de la procédure d’appel, constitués en l’espèce du seul émolument de jugement, par 1'260 fr. (art. 21 al. 1 TFIP [Tarif des frais de procédure et indemnités en matière pénale du 28 septembre 2010 ; BLV 312.03.1]), sont mis à la charge d’I.________,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