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PE21.011204 vom 12. September 2022</w:t>
      </w:r>
    </w:p>
    <w:p>
      <w:r>
        <w:t>VD Tribunal cantonal, 2022-09-12, FR</w:t>
      </w:r>
    </w:p>
    <w:p>
      <w:r>
        <w:rPr>
          <w:b/>
        </w:rPr>
        <w:t xml:space="preserve">Quelle: </w:t>
      </w:r>
      <w:r>
        <w:t>https://mcp.opencaselaw.ch/entscheid/vd_gerichte_PE21.011204</w:t>
      </w:r>
    </w:p>
    <w:p>
      <w:r>
        <w:t>FR: VD_GERICHTE PE21.011204 du 12 septembre 2022</w:t>
      </w:r>
    </w:p>
    <w:p>
      <w:r>
        <w:t>IT: VD_GERICHTE PE21.011204 del 12 settembre 2022</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(CREP 11 mai 2022/318 consid. 1.1).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d’T.________ est recevable.</w:t>
      </w:r>
    </w:p>
    <w:p>
      <w:r>
        <w:rPr>
          <w:b/>
        </w:rPr>
        <w:t>E. 2.1</w:t>
      </w:r>
    </w:p>
    <w:p>
      <w:r>
        <w:t>Le recourant conteste présenter un risque de collusion. A cet égard, il relève, d’une part, que l’enquête est sur le point d’être clôturée, tous les témoins et prévenus ayant été entendus, et, d’autre part, qu’il a admis une partie des faits reprochés. Il considère en outre que, même dans l’hypothèse où un risque de collusion devrait être retenu à ce stade, celui-ci pourrait être aisément contenu par le biais des restrictions au régime de l’exécution anticipée de peine prévue à l’art. 236 al. 4 CPP.</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w:t>
      </w:r>
    </w:p>
    <w:p>
      <w:r>
        <w:t>- 5 -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L'art. 236 al. 1 in fine CPP suppose que le « stade de la procédure » concerné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du 24 mars 2020 consid. 2.1 ; TF 1B_372/2019 du 27 août 2019 consid. 2.1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1B_107/2020 du 24 mars 2020 consid. 2.1 ; TF 1B_186/2018 du 8 mai 2018 consid. 2.1; TF 1B_400/2017 du 18 octobre 2017 consid. 2.1; TF 1B_127/2017 du 20 avril 2017 consid. 2.1). Dans un tel cas, le refus doit être précisément étayé et l’autorité doit également expliquer en quoi d’éventuelles mesures</w:t>
      </w:r>
    </w:p>
    <w:p>
      <w:r>
        <w:t>- 6 - de restriction seraient insuffisantes. Elle doit en effet examiner si le régime de la détention anticipée, même restreint en application de l'art. 236 al. 4 CPP, par exemple en ce qui concerne les visites (art. 235 al. 2 CPP) et le contrôle du courrier et des téléphones (art. 235 al. 3 CPP), laisse subsister un trop grand risque de collusion et met en danger l'instruction (CREP 12 janvier 2022/26 conid. 2.2 ; CREP 26 janvier 2021/74 consid.</w:t>
      </w:r>
    </w:p>
    <w:p>
      <w:r>
        <w:rPr>
          <w:b/>
        </w:rPr>
        <w:t>E. 2.3</w:t>
      </w:r>
    </w:p>
    <w:p>
      <w:r>
        <w:t>En l’espèce, force est de constater que l’enquête est à bout touchant. En effet, la procureure a réceptionné le rapport final de la Police de sûreté et procédé à l’audition récapitulative du recourant. Aucune autre mesure d’instruction n’est envisagée à ce stade, un avis de prochaine clôture ayant d’ailleurs été adressé à la défense le 29 juillet 2022. L’avancement de la procédure ne s’oppose donc pas en tant que tel à l’exécution anticipée de la peine, de sorte qu’il doit exister un risque élevé pour refuser la mise en œuvre de ce régime. Il est vrai qu’il existe toujours un risque de collusion, en ce sens qu’on peut effectivement craindre que le recourant entre en contact avec ses complices, J.________ et R.________. Toutefois, ce risque apparaît modéré. En effet, le recourant ne nie pas toute implication dans le trafic de stupéfiants qui lui est reproché, mais en minimise l’étendue. On ne se trouve donc pas dans la situation où il contesterait toute activité délictueuse. Par ailleurs, tout comme lui, ses deux complices ont aussi eu l’occasion de se déterminer à plusieurs reprises sur les faits reprochés et de confirmer leurs mises en cause, de sorte qu’un revirement devant le tribunal de première instance pourrait vite être considéré comme suspect.</w:t>
      </w:r>
    </w:p>
    <w:p>
      <w:r>
        <w:t>- 7 - Enfin, des mesures pourraient être mises en place, dans le cadre du régime d’exécution anticipée de la peine, pour empêcher tout contact entre le recourant et les personnes précitées. Au vu de ce qui précède, il n’existe en l’état pas de circonstances particulières faisant apparaître un danger concret et sérieux de manœuvres propres à entraver la manifestation de la vérité, au sens de la jurisprudence précitée. Le risque de collusion pourra en outre être évité moyennant une interdiction de contact avec J.________ et R.________ sous quelque forme que ce soit. Le respect de cette interdiction pourra être assuré par le contrôle des visites (art. 235 al. 2 CPP) et de la correspondance du recourant (art. 235 al. 3 CPP), lequel se fait de toute manière d’office par la direction de l’établissement (cf. art. 77 et 89 al. 3 RSPC applicable en exécution anticipée de peine en vertu du renvoi de l’art. 2 al. 1 RSPC). S’agissant des éventuels contacts téléphoniques, le simple fait que les conversations soient enregistrées (art. 91 al. 5 RSPC) – et donc susceptibles d’être écoutées par la direction de l’établissement et de la procédure – suffira à dissuader le recourant de tenter d’appeler J.________ et R.________, étant précisé que si jamais il transgressait cette interdiction, il pourrait immédiatement être replacé en détention provisoire ou en détention pour des motifs de sûreté.</w:t>
      </w:r>
    </w:p>
    <w:p>
      <w:r>
        <w:rPr>
          <w:b/>
        </w:rPr>
        <w:t>E. 3</w:t>
      </w:r>
    </w:p>
    <w:p>
      <w:r>
        <w:t>En définitive, le recours doit être admis et l’ordonnance attaquée réformée en ce sens qu’T.________ est autorisé à exécuter sa peine de manière anticipée dès qu’une place sera disponible dans un établissement approprié, interdiction lui étant faite d’entrer en contact avec J.________ et R.________ sous quelque forme que ce soit. L’ordonnance sera confirmée pour le surplus. Les frais de la procédure de recours, par 770 fr. (art. 20 al. 1 TFIP [tarif des frais de procédure et indemnités en matière pénale du 28 septembre 2010 ; BLV 312.03.1]), ainsi que les frais imputables à la défense d’office (art. 422 al. 1 et 2 let. a CPP), fixés à 420 fr. (trois heures d’activité nécessaire d’avocat-</w:t>
      </w:r>
    </w:p>
    <w:p>
      <w:r>
        <w:t>- 8 - stagiaire au tarif horaire de 110 fr., plus 30 minutes d’activité nécessaire d’avocat pour le contrôle du stagiaire, au tarif horaire de 180 fr.), auxquels il convient d’ajouter des débours forfaitaires à concurrence de 2 %, par 8 fr. 40 (cf. art. 26b TFIP qui renvoie à l'art. 3bis RAJ [règlement sur l’assistance judiciaire en matière civile du 7 décembre 2010 ; BLV 211.02.3]), et la TVA sur le tout, au taux de 7,7%, par 33 fr., soit à 462 fr. au total, en chiffres arrondis, seront laissés à la charge de l’Etat (art. 428 al. 4 CPP). Par ces motifs, la Chambre des recours pénale prononce : I. Le recours est admis. II. L’ordonnance du 25 juillet 2022 est réformée en ce sens qu’T.________ est autorisé à exécuter sa peine de manière anticipée dès qu’une place sera disponible dans un établissement approprié, interdiction lui étant faite d’entrer en contact avec J.________ et R.________ sous quelque forme que ce soit. L’ordonnance est confirmée pour le surplus. III. L’indemnité allouée au défenseur d’office d’T.________ est fixée à 462 fr. (quatre cent soixante-deux francs). IV. Les frais d’arrêt, par 770 fr. (sept cent septante francs), ainsi que l’indemnité due au défenseur d’office d’T.________, par 462 fr. (quatre cent soixante-deux francs), sont laissés à la charge de l’Etat. V. L’arrêt est exécutoire. La présidente : Le greffier :</w:t>
      </w:r>
    </w:p>
    <w:p>
      <w:r>
        <w:t>- 9 - Du Le présent arrêt, dont la rédaction a été approuvée à huis clos, est notifié, par l'envoi d'une copie complète, à : - Me Arnaud Thiéry, avocat (pour T.________), - Ministère public central, et communiqué à : - Mme la Procureure cantonale Strada,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