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PE21.011070 vom 24. April 2023</w:t>
      </w:r>
    </w:p>
    <w:p>
      <w:r>
        <w:t>VD Tribunal cantonal, 2023-04-24, FR</w:t>
      </w:r>
    </w:p>
    <w:p>
      <w:r>
        <w:rPr>
          <w:b/>
        </w:rPr>
        <w:t xml:space="preserve">Quelle: </w:t>
      </w:r>
      <w:r>
        <w:t>https://mcp.opencaselaw.ch/entscheid/vd_gerichte_PE21.011070</w:t>
      </w:r>
    </w:p>
    <w:p>
      <w:r>
        <w:t>FR: VD_GERICHTE PE21.011070 du 24 avril 2023</w:t>
      </w:r>
    </w:p>
    <w:p>
      <w:r>
        <w:t>IT: VD_GERICHTE PE21.011070 del 24 aprile 2023</w:t>
      </w:r>
    </w:p>
    <w:p>
      <w:pPr>
        <w:pStyle w:val="Heading2"/>
      </w:pPr>
      <w:r>
        <w:t>Erwägungen</w:t>
      </w:r>
    </w:p>
    <w:p>
      <w:r>
        <w:rPr>
          <w:b/>
        </w:rPr>
        <w:t>E. 1.1</w:t>
      </w:r>
    </w:p>
    <w:p>
      <w:r>
        <w:t>A.L.________ est né le [...] 1962 à [...]. Marié à B.L.________, il travaille au sein de la [...] en qualité de conseiller en prévoyance entreprise d’abord à plein temps, puis au taux d’activité de 80% depuis le mois de novembre 2023. En 2022, il a réalisé un revenu annuel net de 60'000 fr. à 70'000 fr., étant précisé qu’il est essentiellement payé à la commission, en plus d’un tout petit salaire fixe. Ses charges essentielles se composent, outre du montant de base du minimum vital, de charges de logement qui peuvent être estimées à 7'000 fr. par an d’intérêts hypothécaires, entre 5'000 fr. et 6'000 fr. par an de charges PPE et entre 5'000 fr. et 6'000 fr. par an pour toutes les autres taxes et charges et de plus de 500 fr. par mois de prime LAMAL et LCA. Le couple paie entre 17'000 fr. et 20'000 fr. par an d’impôts étant précisé que cette année, son imposition devrait être inférieure compte tenu d’une baisse de revenu de A.L.________. Les époux ont une centaine de millier de francs d’économies sur un compte et pas de dettes hormis l’hypothèque. Le casier judiciaire de A.L.________ ne comporte aucune inscription.</w:t>
      </w:r>
    </w:p>
    <w:p>
      <w:r>
        <w:rPr>
          <w:b/>
        </w:rPr>
        <w:t>E. 1.2</w:t>
      </w:r>
    </w:p>
    <w:p>
      <w:r>
        <w:t>; TF 6B_952/2019 du 11 décembre 2019 consid. 2.1).</w:t>
      </w:r>
    </w:p>
    <w:p>
      <w:r>
        <w:rPr>
          <w:b/>
        </w:rPr>
        <w:t>E. 1.3</w:t>
      </w:r>
    </w:p>
    <w:p>
      <w:r>
        <w:t>La société T.________ SA, à [...] (ci-après : T.________), a pour but notamment l’exploitation et la planification de travaux de construction, ainsi que l’achat et la vente de tous biens immobiliers. F.________ en est l’administrateur unique, avec signature individuelle. Par contrat d’entreprise générale conclu le 6 août 2019 (P. 7/2), A.L.________ et B.L.________ ont confié à T.________ la construction d’un appartement de quatre pièces en PPE à [...] pour le prix forfaitaire de 698'172 francs. La réception de l’ouvrage et la remise des clés qui devaient intervenir le 28 février 2020 ont finalement eu lieu le 26 février 2021. Des litiges sont survenus entre les parties concernant l’exécution des travaux et le règlement de factures, ainsi que la remise des clés. Dans le cadre de ces litiges, le couple a notamment fait notifier à T.________ ainsi qu’à F.________ personnellement, respectivement les 1er et</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3</w:t>
      </w:r>
    </w:p>
    <w:p>
      <w:r>
        <w:t>Les appelants contestent leur condamnation pour tentative de contrainte. Ils sont convaincus qu'une responsabilité pour faute peut être imputée à F.________, le premier juge relevant que les faits reprochés par les appelants à ce dernier relevaient « davantage de violations contractuelles que d’actes illicites » (cf. jgmt, p. 25), laissant ainsi entendre qu’on ne pouvait exclure toute faute de la part de F.________. Ils soutiennent également ne pas avoir agi pour léser F.________ mais</w:t>
      </w:r>
    </w:p>
    <w:p>
      <w:r>
        <w:t>- 14 - uniquement pour récupérer l'argent auquel ils pensent avoir droit, et non pour faire pression pour obtenir la livraison de l'ouvrage, puisque cela aurait impliqué pour eux de payer encore préalablement le solde des acomptes convenus. Ils relèvent que le montant réclamé dans le commandement de payer litigieux est adéquat, une expertise ayant même révélé un préjudice plus important, ce qui démontrerait qu’ils ont agi uniquement pour préserver leurs droits. Compte tenu de ces circonstances, les appelants considèrent que leur comportement n’est pas illicite de sorte que les éléments constitutifs de l’infraction de contrainte, même au stade de la tentative, ne sont pas réunis et que leur condamnation a été prononcée en violation du principe de la présomption d’innocence.</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w:t>
      </w:r>
    </w:p>
    <w:p>
      <w:r>
        <w:t>- 15 -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 Kistler Vianin, in : CR CPP,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3.1.2</w:t>
      </w:r>
    </w:p>
    <w:p>
      <w:r>
        <w:t>Se rend coupable de contrainte au sens de l'art. 181 CP, celui qui, en usant de violence envers une personne ou en la menaçant d'un dommage sérieux, ou en l'entravant de quelque autre manière dans sa</w:t>
      </w:r>
    </w:p>
    <w:p>
      <w:r>
        <w:t>- 16 - liberté d'action, l'aura obligée à faire, à ne pas faire ou à laisser faire un acte. L’art. 181 CP protège la liberté d'action et de décision (ATF 141 IV 437 consid. 3.2.1). La contrainte est une infraction de résultat. Pour qu'elle soit consommée, il faut que la victime, sous l'effet de moyens de contrainte illicites, commence à modifier son comportement, subissant ainsi l'influence voulue par l'auteur (TF 6B_1082/2021 du 18 mars 2022 consid. 2.1 ; TF 6B_367/2020 du 17 janvier 2022 consid. 13.3.1 ; TF 6B_358/2021 du 15 septembre 2021 consid. 3.1). Lorsque la victime ne se laisse pas intimider et n'adopte pas le comportement voulu par l'auteur, ce dernier est punissable de tentative de contrainte (art. 22 al. 1 CP ; ATF 129 IV 262 consid. 2.7 ; ATF 106 IV 125 consid. 2b). Alors que la violence consiste dans l'emploi d'une force physique d'une certaine intensité à l'encontre de la victime (ATF 101 IV 42 consid. 3a ; TF 6B_1082/2021 précité consid. 2.1),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120 IV 17 consid. 2a/aa). La contrainte est illicite lorsque le moyen ou le but est contraire au droit ou encore lorsque le moyen est disproportionné pour atteindre le but visé, soit encore parce qu'un moyen conforme au droit utilisé pour atteindre un but légitime constitue, au vu des circonstances,</w:t>
      </w:r>
    </w:p>
    <w:p>
      <w:r>
        <w:t>- 17 - un moyen de pression abusif ou contraire aux mœurs (ATF 141 IV 437 consid. 3.2.1 ; ATF 137 IV 326 consid. 3.3.1). Le Tribunal fédéral admet ainsi que la menace du dépôt d'une plainte pénale (ATF 120 IV 17 consid. 2aa) ou l'envoi d'un commandement de payer d'une importante somme d'argent (TF 6B_1188/2017 du 5 juin 2018 consid. 3.1) constituent la menace d'un dommage sérieux. En effet, pour une personne de sensibilité moyenne, faire l’objet d’un commandement de payer d’une importante somme d’argent est, à l’instar d’une plainte pénale, une source de tourments et de poids psychologique, en raison des inconvénients découlant de la procédure de poursuite elle- même et de Ia perspective de devoir peut-être payer le montant en question. Un tel commandement de payer est ainsi propre à inciter une personne de sensibilité moyenne à céder à la pression subie, cas échéant, donc à l’entraver d’une manière substantielle dans sa liberté de décision ou d’action. Utiliser un tel procédé comme moyen de pression est clairement abusif, donc illicite (ATF 115 III 18 consid. 3 ; TF 6B_70/2016 du 2 juin 2016 consid. 4.3.4). Certes, faire notifier un commandement de payer lorsqu’on est fondé à réclamer une telle somme ou menacer de déposer une plainte pénale (lorsque l'on est victime d'une infraction) constituent en principe des actes licites ; ils ne le sont toutefois plus lorsque le moyen utilisé n'est pas dans un rapport raisonnable avec le but visé et constitue un moyen de pression abusif. Par exemple, utiliser un tel procédé comme moyen de pression pour dissuader la personne visée d’agir correctement dans sa profession est clairement abusif, donc illicite (ATF 115 III 18 consid. 3 ; ATF 115 III 81 consid. 3b ; SJ 1987 p. 156 ss). Il en va de même lorsque l'objet de la plainte pénale est sans rapport avec la prestation demandée ou si la menace doit permettre d'obtenir un avantage indu (TF 6B_415/2018 du 20 septembre 2018 consid. 2.1.3 et les arrêts cités). En définitive, le fondement de la créance invoquée, le montant indiqué sur le commandement de payer et le contexte de sa notification sont autant d'éléments pertinents dans l'appréciation des circonstances</w:t>
      </w:r>
    </w:p>
    <w:p>
      <w:r>
        <w:t>- 18 - du cas d'espèce (Jordan, Les poursuites injustifiées : point de situation, in Revue de l'avocat 2017, p. 131 s. et les arrêts cités). Lorsque la victime ne se laisse pas intimider et n'adopte pas le comportement voulu par l'auteur, ce dernier est punissable de tentative de contrainte (art. 22 al. 1 CP ; ATF 129 IV 262 consid. 2.7 ; ATF 106 IV 125 consid. 2b). Pour qu'il y ait tentative de contrainte, il faut que l'auteur ait agi avec conscience et volonté, soit au moins qu'il ait accepté l'éventualité que le procédé illicite employé entrave le destinataire dans sa liberté de décision (ATF 120 IV 17 consid. 2c).</w:t>
      </w:r>
    </w:p>
    <w:p>
      <w:r>
        <w:rPr>
          <w:b/>
        </w:rPr>
        <w:t>E. 3.2</w:t>
      </w:r>
    </w:p>
    <w:p>
      <w:r>
        <w:t>En l’espèce, le premier juge a constaté que les appelants avaient fait notifier des poursuites à F.________ personnellement, alors qu'ils étaient liés contractuellement à T.________ et non à F.________, ce dont ils étaient conscients car ils avaient déjà été rendus attentifs à cet aspect par le conseil adverse. Selon le magistrat, ils ont agi pour faire abusivement pression sur F.________ pour obtenir la fixation d'une date de remise de l'ouvrage avant d'avoir entièrement payé leur dû conformément à l'échéancier contractuel, ce qui avait entravé ce dernier, qui avait un intérêt certain à disposer d'un registre des poursuites vierge dans le cadre de ses activités professionnelles (cf. jgmt, pp. 27-28). Cette appréciation ne peut cependant être suivie. En effet, la preuve de la bonne foi des appelants est apportée par la lecture de la demande en paiement qu’ils ont adressée à la Chambre patrimoniale cantonale (P. 26/3). Les appelants y allèguent les manquements qu'ils imputent personnellement à l’intimé F.________ (not. all. 19-27, 114, 130, 194, 196, 218). Les commandements de payer notifiés à T.________, respectivement à F.________ en février 2021 sont également allégués (all. 212-215) et la levée des oppositions est requise (conclusions III et V). Le montant en capital de 209'135 fr. est requis solidairement de T.________ et de F.________ (conclusion 1). Dans ces circonstances, il paraît improbable que les appelants aient ouvert action devant la Chambre patrimoniale cantonale pour un montant de 209'135 fr. contre F.________ s'ils ne s'estimaient pas fondés à émettre des prétentions contre lui, au risque de</w:t>
      </w:r>
    </w:p>
    <w:p>
      <w:r>
        <w:t>- 19 - s’exposer au paiement d’importants dépens s'il s'avère qu'aucun fondement de la responsabilité personnelle de F.________ n'est concevable. Sur cette base, on ne peut, en outre, reprocher pénalement l'envoi de commandements de payer, alors que l'ouverture d'action devant un tribunal pour obtenir la mainlevée et la réclamation du paiement sur la base des mêmes fondements serait licite, ce que personne ne conteste. Par conséquent, du point de vue subjectif au moins, il est établi que les appelants ont fait notifier un commandement de payer parce qu'ils s'estimaient fondés à réclamer une somme, ce qui est licite, selon la jurisprudence. En outre, le montant des commandements de payer est inférieur aux conclusions prises dans la demande : il ne s'agissait donc pas d'élever une prétention disproportionnée en utilisant un moyen de pression abusif, donc illicite. Au vu de ce qui précède, la Cour de céans considère que les éléments constitutifs de l’infraction de contrainte, même au stade de la tentative, ne sont pas réunis. Il convient dès lors d’acquitter les appelants de ce chef d’infraction.</w:t>
      </w:r>
    </w:p>
    <w:p>
      <w:r>
        <w:rPr>
          <w:b/>
        </w:rPr>
        <w:t>E. 4</w:t>
      </w:r>
    </w:p>
    <w:p>
      <w:r>
        <w:t>Les appelants contestent la mise à leur charge de l’indemnité de 7'067 fr. allouée à l’intimé au sens de l’art. 433 al. 1 CPP.</w:t>
      </w:r>
    </w:p>
    <w:p>
      <w:r>
        <w:rPr>
          <w:b/>
        </w:rPr>
        <w:t>E. 4.1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w:t>
      </w:r>
    </w:p>
    <w:p>
      <w:r>
        <w:t>- 20 - relation avec la plainte pénale (ATF 139 IV 102 consid. 4.1 et 4.3 ; TF 6B_549/2015 du 16 mars 2016 consid. 2.3). Selon une jurisprudence bien établie du Tribunal fédéral, la question de l'indemnisation (art. 429 à 434 CPP) doit être traitée après celle des frais (art. 423 à 428 CPP). Dans cette mesure, la décision sur les frais préjuge de la question de l'indemnisation (ATF 145 IV 268 consid. 1.2 ; ATF 144 IV 207 consid. 1.8.2 ; ATF 137 IV 352 consid. 2.4.2 ; TF 6B_248/2019 du 29 mars 2019 consid. 2.1.1 et réf. cit.). Il existe ainsi un parallélisme entre la mise à la charge des frais de procédure et l’indemnisation.</w:t>
      </w:r>
    </w:p>
    <w:p>
      <w:r>
        <w:rPr>
          <w:b/>
        </w:rPr>
        <w:t>E. 4.2</w:t>
      </w:r>
    </w:p>
    <w:p>
      <w:r>
        <w:t>Les appelants étant acquittés, l’intimé ne peut prétendre à aucune indemnité au sens de l’art. 433 al. 1 CPP. L’appel est admis sur ce point également.</w:t>
      </w:r>
    </w:p>
    <w:p>
      <w:r>
        <w:rPr>
          <w:b/>
        </w:rPr>
        <w:t>E. 5</w:t>
      </w:r>
    </w:p>
    <w:p>
      <w:r>
        <w:t>Les appelants requièrent l’allocation d’une indemnité équitable au sens de l’art. 429 al. 1 let. a CPP, fixée sur la base de la liste d’opérations produite en première instance (P. 32). Ils concluent également à ce que les frais de première instance soient laissés à la charge de l’Etat.</w:t>
      </w:r>
    </w:p>
    <w:p>
      <w:r>
        <w:rPr>
          <w:b/>
        </w:rPr>
        <w:t>E. 5.1.1</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w:t>
      </w:r>
    </w:p>
    <w:p>
      <w:r>
        <w:t>- 21 -</w:t>
      </w:r>
    </w:p>
    <w:p>
      <w:r>
        <w:rPr>
          <w:b/>
        </w:rPr>
        <w:t>E. 5.1.2</w:t>
      </w:r>
    </w:p>
    <w:p>
      <w:r>
        <w:t>A teneur de l'art. 429 al. 1 let. a CPP, le prévenu acquitté totalement ou en partie ou au bénéfice d'une ordonnance de classement, a droit à une indemnité pour les dépenses occasionnées par l'exercice raisonnable de ses droits de procédure. Aux termes de l'art. 430 al. 1 let. a et b CPP, l'autorité pénale peut réduire ou refuser l'indemnité ou la réparation du tort moral lorsque le prévenu a provoqué illicitement et fautivement l'ouverture de la procédure ou a rendu plus difficile la conduite de celle-ci ou si la partie plaignante est astreinte à indemniser le prévenu. L'alinéa 1 let. a de cette disposition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137 IV 352 consid. 2.4.2 p. 357). Lorsque la condamnation aux frais n'est que partielle, la réduction de l'indemnité devrait s'opérer dans la même mesure.</w:t>
      </w:r>
    </w:p>
    <w:p>
      <w:r>
        <w:rPr>
          <w:b/>
        </w:rPr>
        <w:t>E. 5.2</w:t>
      </w:r>
    </w:p>
    <w:p>
      <w:r>
        <w:t>Dès lors que les appelants sont libérés du chef d’accusation pour lequel ils étaient poursuivis, les frais de procédure de première instance, arrêtés à 2'375 fr., doivent être entièrement laissés à la charge de l’Etat. Dans la mesure où ils obtiennent gain de cause et qu’ils ont agi par le biais d’un avocat, les appelants ont droit à une indemnité pour les dépenses occasionnées par l’exercice raisonnable de leurs droits durant la procédure de première instance au sens de l’art. 429 al. 1 let. a CPP. Il n’y a pas lieu de s’écarter de la liste d’opérations produite en première instance (P. 32) sous réserve du tarif horaire de 250 fr. qui doit être appliqué, l’affaire ne présentant pas de complexité particulière et ayant été examinée par un juge unique. L’indemnité doit dès lors être arrêtée à 8’066 fr. 20, à la charge de l’Etat.</w:t>
      </w:r>
    </w:p>
    <w:p>
      <w:r>
        <w:t>- 22 -</w:t>
      </w:r>
    </w:p>
    <w:p>
      <w:r>
        <w:rPr>
          <w:b/>
        </w:rPr>
        <w:t>E. 6</w:t>
      </w:r>
    </w:p>
    <w:p>
      <w:r>
        <w:t>En définitive, l’appel doit être admis et le jugement entrepris réformé dans le sens des considérants qui précèdent. Obtenant gain de cause et assistés d’un défenseur de choix, les appelants ont droit à une indemnité pour les dépenses occasionnées par la procédure d’appel. La note d’honoraires de leur défenseur de choix produite aux débats d’appel (P. 44) peut être admise sous réserve des opérations réalisées avant l’annonce d’appel du 5 mai 2023 qui doivent être retranchées. En ajoutant 1 heure et 10 minutes pour l’audience d’appel, c’est une durée d’activité de 11 heures et 24 minutes qui sera admise. Au tarif horaire de 250 fr., l’indemnité allouée à A.L.________ et B.L.________, solidairement entre eux, sera dès lors fixée à 3'261 fr., TVA et débours inclus. L’intimé et le Ministère public ayant conclu au rejet de l’appel, cette indemnité sera mise à la charge de F.________ par moitié, soit 1'630 fr. 50, le solde étant laissé à la charge de l’Etat (art. 428 al. 1 CPP). Vu l’issue de la cause, les frais de la procédure d’appel, constitués en l’espèce uniquement de l’émolument de jugement, par 2'240 fr. (art. 422 al. 1 CPP ; 21 al. 1 et 2 TFIP [tarif des frais de procédure et indemnités en matière pénale du 28 septembre 2010 ; RSV 312.03.1]), seront mis par moitié, soit par 1'120 fr., à la charge de F.________,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