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PE21.010981 vom 3. März 2022</w:t>
      </w:r>
    </w:p>
    <w:p>
      <w:r>
        <w:t>VD Tribunal cantonal, 2022-03-03, FR</w:t>
      </w:r>
    </w:p>
    <w:p>
      <w:r>
        <w:rPr>
          <w:b/>
        </w:rPr>
        <w:t xml:space="preserve">Quelle: </w:t>
      </w:r>
      <w:r>
        <w:t>https://mcp.opencaselaw.ch/entscheid/vd_gerichte_PE21.010981</w:t>
      </w:r>
    </w:p>
    <w:p>
      <w:r>
        <w:t>FR: VD_GERICHTE PE21.010981 du 3 mars 2022</w:t>
      </w:r>
    </w:p>
    <w:p>
      <w:r>
        <w:t>IT: VD_GERICHTE PE21.010981 del 3 marzo 2022</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- 7 - Interjeté dans le délai légal par un détenu qui a qualité pour recourir (art. 222 et 382 al. 1 CPP) et dans les formes prescrites (art. 385 al. 1 CPP), le recours est recevable, sous réserve de ce qui suit. En effet, le recourant sollicite l’admission du recours en ce sens qu’ordre soit donné au Ministère public de solliciter de la part de l’expert psychiatre le pronostic relatif à sa dangerosité. Ce faisant, le recourant ne sollicite pas de la Chambre de céans qu’elle administre elle- même une preuve complémentaire en application de l’art. 389 al. 3 CPP. Il faut constater également que le recourant ne sollicite pas non plus l’annulation de l’ordonnance et le renvoi de la cause au premier juge pour qu’il mette en œuvre cette preuve complémentaire (art. 397 al. 2 CPP). Enfin, le recourant ne fait pas valoir l’existence d’un déni de justice, ce qui aurait pu conduire la Chambre de céans à donner des instructions à l’autorité concernée en lui impartissant des délais pour s’exécuter (art. 397 al. 3 CPP). Au vu de ce qui précède, cette conclusion est irrecevable.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t>- 8 -</w:t>
      </w:r>
    </w:p>
    <w:p>
      <w:r>
        <w:rPr>
          <w:b/>
        </w:rPr>
        <w:t>E. 3.1</w:t>
      </w:r>
    </w:p>
    <w:p>
      <w:r>
        <w:t>; ATF 143 IV 9 consid. 2.5 ;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1B_549/2021 du 21 octobre 2021 consid. 4.1).</w:t>
      </w:r>
    </w:p>
    <w:p>
      <w:r>
        <w:t>- 9 -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1B_570/2021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1B_570/2021 précité).</w:t>
      </w:r>
    </w:p>
    <w:p>
      <w:r>
        <w:t>- 10 -</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3.3.1</w:t>
      </w:r>
    </w:p>
    <w:p>
      <w:r>
        <w:t>S’agissant du risque de réitération, le Tribunal des mesures de contrainte s’est référé à ses précédentes ordonnances, qui retenaient en substance que A.W.________ n’avait pas d’antécédents, qu’il souffrait toutefois d’importants troubles psychiques et que son état s’était manifestement dégradé depuis quelques semaines, comme le montrait sa tentative d’automédication avec de l’ecstasy, et comme l’avaient expliqué sa mère et son frère ; le prévenu avait lui-même admis qu’il devrait être hospitalisé et qu’il était dès lors manifeste que, compte tenu de son état psychique, il y avait fort à craindre qu’il s’en prenne à nouveau avec violence à autrui s’il venait à être libéré. Dans l’attente du résultat de cette expertise, respectivement d’une place dans un foyer psychiatrique fermé qui serait à même de contenir les comportements potentiellement agressifs du prévenu, le risque de réitération était tel qu’il justifiait pleinement la détention provisoire.</w:t>
      </w:r>
    </w:p>
    <w:p>
      <w:r>
        <w:rPr>
          <w:b/>
        </w:rPr>
        <w:t>E. 3.3.2</w:t>
      </w:r>
    </w:p>
    <w:p>
      <w:r>
        <w:t>En l’état, on peut donner acte au recourant qu’il est regrettable que le rapport d’expertise psychiatrique requis le 26 juillet 2021 par le Ministère public n’ait pas encore été rendu, malgré plusieurs relances. Toutefois, le recourant n’a pas déposé de recours pour déni de justice pour soulever ce moyen. Ainsi, en l’état, en l’absence des conclusions des experts psychiatres, rien ne vient remettre en cause le fait que le risque de récidive demeure concret, s’agissant d’un individu qui souffre manifestement de troubles psychiques et qui a déversé volontairement une casserole d’eau bouillante sur son frère lui occasionnant de graves blessures. Par ailleurs, l’affirmation du recourant, selon laquelle il suivrait un traitement lui permettant de contrôler ses hallucinations auditives et visuelles, n’est pas documentée. C’est par conséquent à juste titre que le Tribunal des mesures de contrainte a considéré que le risque de réitération demeurait concret.</w:t>
      </w:r>
    </w:p>
    <w:p>
      <w:r>
        <w:rPr>
          <w:b/>
        </w:rPr>
        <w:t>E. 4</w:t>
      </w:r>
    </w:p>
    <w:p>
      <w:r>
        <w:t>Les motifs fondant la détention provisoire étant alternatifs et non cumulatifs (TF 1B_249/2011 du 7 juin 2011 consid. 2.4), l’existence manifeste du risque de réitération suffit à justifier le maintien en détention</w:t>
      </w:r>
    </w:p>
    <w:p>
      <w:r>
        <w:t>- 11 - provisoire du recourant et dispense la Cour de céans d’examiner les éventuels risques de collusion ou de fuite.</w:t>
      </w:r>
    </w:p>
    <w:p>
      <w:r>
        <w:rPr>
          <w:b/>
        </w:rPr>
        <w:t>E. 5.1</w:t>
      </w:r>
    </w:p>
    <w:p>
      <w:r>
        <w:t>La prolongation de la détention provisoire ordonnée par le Tribunal des mesures de contrainte doit encore respecter le principe de la proportionnalité.</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5.3</w:t>
      </w:r>
    </w:p>
    <w:p>
      <w:r>
        <w:t>A l’instar du Tribunal des mesures de contrainte, la Chambre de céans ne voit pas à ce stade de mesure de substitution susceptible de</w:t>
      </w:r>
    </w:p>
    <w:p>
      <w:r>
        <w:t>- 12 - constituer une garantie suffisante compte tenu de la gravité des faits qui sont reprochés au prévenu, de son instabilité psychologique, et de l’atteinte au bien juridique protégé considérée soit l’intégrité physique, qui commande de faire preuve, dans l’attente des conclusions de l’expertise psychiatrique, même orales, de la plus grande prudence. Au terme de la prolongation ordonnée, le recourant aura été détenu provisoirement durant un peu plus de huit mois. Une telle durée ne saurait être considérée comme excessive au vu de la gravité des faits reprochés, lesquels peuvent notamment s’avérer, à ce stade, constitutifs de lésions corporelles graves subsidiairement de tentative de lésions corporelles graves, de menaces et de contravention à la Loi fédérale sur les stupéfiants. Le recourant s’exposant ainsi concrètement à une peine privative de liberté d’une durée plus importante que celle de la détention provisoire subie, respectivement à subir jusqu’au 21 mars 2022, le principe de la proportionnalité est respecté (art. 212 al. 3 CPP). Si la détention devait encore être prolongée au-delà de cette date, il conviendra que les conclusions des experts, notamment au sujet de la dangerosité du recourant et des moyens propres à y pallier, soient recueillies par le Ministère public, ne serait-ce qu’oralement.</w:t>
      </w:r>
    </w:p>
    <w:p>
      <w:r>
        <w:rPr>
          <w:b/>
        </w:rPr>
        <w:t>E. 6</w:t>
      </w:r>
    </w:p>
    <w:p>
      <w:r>
        <w:t>La requête d’assistance judiciaire tendant à la désignation de Me Liridona Lataj en qualité de défenseur d’office est superflue, dès lors que son mandat d’office vaut pour toutes les étapes de la procédure (Harari/Jakob/Santamaria, in : Jeanneret et al. [édit.], op. cit., n. 1 ad art. 134 CPP) et qu’il ne prendra fin qu’à l’épuisement des voies de droit régies par le CPP, l’assistance judiciaire pour une éventuelle procédure devant le Tribunal fédéral faisant en revanche l’objet d’une nouvelle décision de ce dernier (art. 64 LTF [loi du 17 juin 2005 sur le Tribunal fédéral ; RS 173.110]).</w:t>
      </w:r>
    </w:p>
    <w:p>
      <w:r>
        <w:rPr>
          <w:b/>
        </w:rPr>
        <w:t>E. 7</w:t>
      </w:r>
    </w:p>
    <w:p>
      <w:r>
        <w:t>Il résulte de ce qui précède que le recours, manifestement mal fondé, doit être rejeté, dans la mesure où il est recevable, sans échange d'écritures (art. 390 al. 2 CPP) et l'ordonnance entreprise confirmée.</w:t>
      </w:r>
    </w:p>
    <w:p>
      <w:r>
        <w:t>- 13 - Les frais de la procédure de recours sont fixés à 1’320 fr. (art. 20 al. 1 TFIP [Tarif des frais de procédure et indemnités en matière pénale du 28 septembre 2010 ; BLV 312.03.1]). Au vu du travail accompli par Me Liridona Lataj,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et 7,7 % pour la TVA, de sorte que l'indemnité d'office s'élève au total à 593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dans la mesure où il est recevable. II. L’ordonnance du 14 février 2022 est confirmée. III. L’indemnité allouée à Me Liridona Lataj, défenseur d’office de A.W.________, est fixée à 593 fr. (cinq cent nonante-trois francs). IV. Les frais d’arrêt, par 1’320 fr. (mille trois cent vingt francs), ainsi que l’indemnité due au défenseur d’office du recourant, par 593 fr. (cinq cent nonante-trois francs), sont mis à la charge de A.W.________. V. Le remboursement à l’Etat de l’indemnité allouée au chiffre III ci-dessus ne sera exigible que pour autant que la situation financière de A.W.________ le permette.</w:t>
      </w:r>
    </w:p>
    <w:p>
      <w:r>
        <w:t>- 14 - VI. L’arrêt est exécutoire. La présidente : La greffière : Du Le présent arrêt, dont la rédaction a été approuvée à huis clos, est notifié, par l'envoi d'une copie complète, à : - Me Liridona Lataj, avocate (pour A.W.________), - Ministère public central, et communiqué à : - Mme la Présidente du Tribunal des mesures de contrainte, - Mme la Procureure de l’arrondissement du Nord vaudois, - Tribunal correctionnel de l’arrondissement de la Broye du et du Nord vaudois, - Mme Coralie Devaud, avocate (pour [...]),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