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PE21.010804 vom 14. Dezember 2022</w:t>
      </w:r>
    </w:p>
    <w:p>
      <w:r>
        <w:t>VD Tribunal cantonal, 2022-12-14, FR</w:t>
      </w:r>
    </w:p>
    <w:p>
      <w:r>
        <w:rPr>
          <w:b/>
        </w:rPr>
        <w:t xml:space="preserve">Quelle: </w:t>
      </w:r>
      <w:r>
        <w:t>https://mcp.opencaselaw.ch/entscheid/vd_gerichte_PE21.010804</w:t>
      </w:r>
    </w:p>
    <w:p>
      <w:r>
        <w:t>FR: VD_GERICHTE PE21.010804 du 14 décembre 2022</w:t>
      </w:r>
    </w:p>
    <w:p>
      <w:r>
        <w:t>IT: VD_GERICHTE PE21.010804 del 14 dicembre 2022</w:t>
      </w:r>
    </w:p>
    <w:p>
      <w:pPr>
        <w:pStyle w:val="Heading2"/>
      </w:pPr>
      <w:r>
        <w:t>Erwägungen</w:t>
      </w:r>
    </w:p>
    <w:p>
      <w:r>
        <w:rPr>
          <w:b/>
        </w:rPr>
        <w:t>E. 4.1</w:t>
      </w:r>
    </w:p>
    <w:p>
      <w:r>
        <w:t>L’appelant conteste que les lésions subies par J.________ puissent être qualifiées de lésions corporelles simples et soutient qu’il s’agirait tout au plus de voies de fait.</w:t>
      </w:r>
    </w:p>
    <w:p>
      <w:r>
        <w:rPr>
          <w:b/>
        </w:rPr>
        <w:t>E. 4.2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w:t>
      </w:r>
    </w:p>
    <w:p>
      <w:r>
        <w:t>- 23 -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6B_1064/2019 du 16 janvier 2020 consid. 2.2;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134 IV 189 consid. 1.3 et l'arrêt cité ; TF 6B_782/2020 précité consid. 3.1). Dans les cas limites, il faut tenir compte de l'importance de la douleur provoquée (ATF 134 IV 189 consid. 1.3).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TF 6B_782/2020 précité consid. 3.1 ; TF 6B_385/2020 du 12 août 2020 consid. 2.1).</w:t>
      </w:r>
    </w:p>
    <w:p>
      <w:r>
        <w:rPr>
          <w:b/>
        </w:rPr>
        <w:t>E. 4.3</w:t>
      </w:r>
    </w:p>
    <w:p>
      <w:r>
        <w:t>En l’espèce, le prévenu a saisi la plaignante au cou, soit à un endroit particulièrement vulnérable. Le diagnostic retenu par les médecins de l’Hôpital Riviera-Chablais est une contusion au cou. Ils ont indiqué que</w:t>
      </w:r>
    </w:p>
    <w:p>
      <w:r>
        <w:t>- 24 - la plaignante présentait une sensibilité à la palpation des cartilages thyroïdiens et souffrait également de douleurs à la colonne cervicale. L’examen clinique effectué par le CURML 20 heures plus tard a mis en évidence trois dermabrasions de petite taille au niveau du cou et une zone érythémateuse, mesurant environ 6 cm de diamètre, douloureuse à la palpation, au niveau du thorax. Enfin, devant le premier juge, J.________ a expliqué qu’elle avait présenté après les faits des hématomes autour de la gorge, qu’elle avait souffert pendant deux mois, qu’elle ne dormait pas bien, qu’elle avait des angoisses et était suivie par un psychologue. Au vu de l’ensemble de ces éléments, les lésions infligées par le prévenu n’ont à l’évidence pas engendré qu'un trouble passager et sans importance pour la plaignante, de sorte que c’est à juste titre qu’elles ont été qualifiées de lésions corporelles simples. Partant, le moyen doit être rejeté et la condamnation de l’appelant pour lésions corporelles simples également confirmée.</w:t>
      </w:r>
    </w:p>
    <w:p>
      <w:r>
        <w:rPr>
          <w:b/>
        </w:rPr>
        <w:t>E. 5.1</w:t>
      </w:r>
    </w:p>
    <w:p>
      <w:r>
        <w:t>Invoquant une violation de l’art. 47 CP, l’appelant soutient que sa culpabilité ne serait pas grave, qu’une peine privative de liberté ne se justifierait pas et qu’il pourrait bénéficier d’un sursis. Il ajoute qu’il se serait d’emblée et spontanément expliqué sur son comportement et que sa « singularité » n’en ferait pas un criminel.</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t>- 26 -</w:t>
      </w:r>
    </w:p>
    <w:p>
      <w:r>
        <w:rPr>
          <w:b/>
        </w:rPr>
        <w:t>E. 5.2.3</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w:t>
      </w:r>
    </w:p>
    <w:p>
      <w:r>
        <w:rPr>
          <w:b/>
        </w:rPr>
        <w:t>E. 5.2.4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w:t>
      </w:r>
    </w:p>
    <w:p>
      <w:r>
        <w:t>- 27 -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5.3</w:t>
      </w:r>
    </w:p>
    <w:p>
      <w:r>
        <w:t>La culpabilité de l’appelant ne doit pas être minimisée. Il s’en est pris à à l’intégrité physique d’une femme qu’il ne connaissait pas pour des motifs futiles et a menacé avec un pic à glace celui qui l’avait jusqu’alors hébergé gratuitement. Il a en outre déjà été condamné à deux reprises, soit le 5 février 2020, par le Ministère public de l’arrondissement de l’Est vaudois, pour voies de fait et séjour illégal à une peine privative de liberté de 120 jours, avec sursis durant 2 ans, ainsi qu’à une amende de 300 fr., et le 20 janvier 2021, par le Ministère public de l’arrondissement de Lausanne pour voies de fait, injure, menaces et séjour illégal à une peine pécuniaire de 60 jours-amende à 30 fr. ainsi qu’à une amende de 300 francs. Dans son ordonnance pénale, cette dernière autorité a par ailleurs expressément indiqué qu’elle renonçait à révoquer le sursis accordé le 5 février 2020, estimant que le prononcé d’une peine ferme serait de nature à dissuader le prévenu de commettre de nouvelles infractions (cf. P. 22). Malgré cela, l’appelant a récidivé et est aujourd’hui condamné une troisième fois pour des délits similaires. Sans statut de séjour, iI n’a en outre aucune attache sociale ni professionnelle. Dans ces circonstances, le pronostic à poser s’avère résolument défavorable. Sous réserve de l’infraction d’injure, qui n’est passible que d’une peine pécuniaire, le prononcé d’une peine privative de liberté s'impose pour sanctionner les infractions commises pour des motifs de prévention spéciale, les précédentes peines n’ayant eu aucun effet sur le prévenu. Compte tenu des antécédents de l’appelant et de son absence totale de remise en question, les conditions du sursis ne sont à l’évidence pas réalisées. Enfin, le prévenu ayant récidivé durant le délai d’épreuve</w:t>
      </w:r>
    </w:p>
    <w:p>
      <w:r>
        <w:t>- 28 - assortissant la condamnation du 5 février 2020, c’est à juste titre que le premier juge a ordonné la révocation de ce sursis et considéré qu’une peine d’ensemble devait être prononcée. En l'occurrence, l’appelant a été condamné le 5 février 2020 à une peine privative de liberté de 120 jours. L’infraction la plus grave nouvellement commise est celle de lésions corporelles simples. Elle justifie à elle seule le prononcé d’une peine privative de liberté de trois mois. Les effets du concours conduisent à l’augmentation de cette peine de base d'un mois au minimum pour sanctionner l’infraction de menaces, de sorte que, sans compter la peine privative de liberté qui devrait encore sanctionner la nouvelle infraction à la LEI, la peine d’ensemble de 210 jours de peine privative de liberté n’est pas critiquable. Il en va de même de la peine pécuniaire de 10 jours-amende à 30 fr., fixée au chiffre VII du dispositif qui n’a fait au demeurant l’objet d’aucune conclusion en réforme. En définitive, la peine privative de liberté d’ensemble de 210 jours, sans sursis, ainsi que la peine pécuniaire de 10 jours-amende à 30 fr., sont adéquates et doivent être confirmées.</w:t>
      </w:r>
    </w:p>
    <w:p>
      <w:r>
        <w:rPr>
          <w:b/>
        </w:rPr>
        <w:t>E. 5.4</w:t>
      </w:r>
    </w:p>
    <w:p>
      <w:r>
        <w:t>Conformément à l’art. 51 CP, la détention subie depuis le jugement de première instance sera déduite de la peine privative de liberté prononcée.</w:t>
      </w:r>
    </w:p>
    <w:p>
      <w:r>
        <w:rPr>
          <w:b/>
        </w:rPr>
        <w:t>E. 6.1</w:t>
      </w:r>
    </w:p>
    <w:p>
      <w:r>
        <w:t>Q.________ conclut à ce qu’il soit renoncé à prononcer son expulsion, sans toutefois développer ce point dans sa déclaration d’appel.</w:t>
      </w:r>
    </w:p>
    <w:p>
      <w:r>
        <w:rPr>
          <w:b/>
        </w:rPr>
        <w:t>E. 6.2</w:t>
      </w:r>
    </w:p>
    <w:p>
      <w:r>
        <w:t>Aux termes de l'art. 66abis CP, le juge peut expulser un étranger du territoire suisse pour une durée de trois à quinze ans si, pour un crime ou un délit non visé à l’art. 66a, celui-ci a été condamné à une peine ou a fait l’objet d’une mesure au sens des art. 59 à 61 ou 64.</w:t>
      </w:r>
    </w:p>
    <w:p>
      <w:r>
        <w:t>- 29 -</w:t>
      </w:r>
    </w:p>
    <w:p>
      <w:r>
        <w:rPr>
          <w:b/>
        </w:rPr>
        <w:t>E. 6.3</w:t>
      </w:r>
    </w:p>
    <w:p>
      <w:r>
        <w:t>Q.________ est ressortissant américain. Comme l’a retenu le premier juge, il réside en Suisse depuis 2020 à tout le moins, sans titre de séjour. Il ne travaille pas, émarge aux services sociaux et n’a pas de domicile fixe. L’appelant n’a en outre pas contesté qu’il n’avait aucune attache personnelle ni sociale en Suisse. Par conséquent, compte tenu de ses deux antécédents et de la présente condamnation, son expulsion pour une durée de cinq ans se justifie, de même que l’inscription de cette mesure dans le Système d’information Schengen.</w:t>
      </w:r>
    </w:p>
    <w:p>
      <w:r>
        <w:rPr>
          <w:b/>
        </w:rPr>
        <w:t>E. 7</w:t>
      </w:r>
    </w:p>
    <w:p>
      <w:r>
        <w:t>L'appelant soulève en dernier lieu qu'I.________ n'aurait pas chiffré ses prétentions civiles ni apporté la preuve de son dommage. Le premier juge n'a toutefois pas accordé de prétentions civiles à I.________ mais renvoyé celui-ci à agir devant le juge civil. Compte tenu de la condamnation du prévenu, cette décision ne prête pas le flanc à la critique et doit être confirmée.</w:t>
      </w:r>
    </w:p>
    <w:p>
      <w:r>
        <w:rPr>
          <w:b/>
        </w:rPr>
        <w:t>E. 8</w:t>
      </w:r>
    </w:p>
    <w:p>
      <w:r>
        <w:t>L’appelant conclut à sa libération immédiate et à l’octroi d’une indemnité au sens de l’art. 429 al. 1 let. c CPP pour la détention illicite qu’il aurait subie. Dès lors qu’elles reposent sur la prémisse de l’admission de son appel, ces conclusions doivent être rejetées.</w:t>
      </w:r>
    </w:p>
    <w:p>
      <w:r>
        <w:rPr>
          <w:b/>
        </w:rPr>
        <w:t>E. 9</w:t>
      </w:r>
    </w:p>
    <w:p>
      <w:r>
        <w:t>En définitive, l’appel de Q.________ doit être rejeté et le jugement entrepris intégralement confirmé. Il n’y a pas lieu de s’écarter de la liste des opérations produite par Me Patrick Moser, défenseur d’office de Q.________, qui fait état de 15 heures et 40 minutes d’activité d’avocat breveté au tarif horaire de 180 fr., si ce n’est pour y ajouter une heure pour les débats d’appel, qui ne sont pas compris, et indemniser les déplacements du conseil par un forfait de 120 fr. par trajet, le temps de déplacement n’étant pas compté en sus. Les débours sont en outre indemnisés sur une base forfaitaire à concurrence de 2 % du montant des honoraires admis et non 5 % comme</w:t>
      </w:r>
    </w:p>
    <w:p>
      <w:r>
        <w:t>- 30 - requis (cf. art. 3bis RAJ [Règlement sur l’assistance judiciaire en matière civile du 7 décembre 2010 ; BLV 211.02.3], applicable par renvoi de l’art. 26b TFIP [Tarif des frais de procédure et indemnités en matière pénale du 28 septembre 2010 ; BLV 312.03.1]). Ainsi, une indemnité de défenseur d’office d'un montant de 3'158 fr. 65, correspondant à une activité d’avocat breveté de 14 heures et 40 minutes au tarif horaire de 180 fr., par 2'640 fr., à des débours à hauteur de 52 fr. 80, à deux vacations à 120 fr. et à la TVA au taux de 7,7 %, par 225 fr. 85, sera allouée à Me Patrick Moser pour la procédure d’appel. Vu l'issue de la cause, les frais de la procédure d'appel, par 6'168 fr. 65, constitués de l'émolument du présent jugement, par 3’010 fr. (art. 21 al. 1 et 2 TFIP), ainsi que de l’indemnité allouée à son défenseur d’office, par 3'158 fr. 65, seront mis à la charge de l’appelant, qui succombe (art. 428 al. 1 CPP). Q.________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