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PE21.010730 vom 17. Dezember 2021</w:t>
      </w:r>
    </w:p>
    <w:p>
      <w:r>
        <w:t>VD Tribunal cantonal, 2021-12-17, FR</w:t>
      </w:r>
    </w:p>
    <w:p>
      <w:r>
        <w:rPr>
          <w:b/>
        </w:rPr>
        <w:t xml:space="preserve">Quelle: </w:t>
      </w:r>
      <w:r>
        <w:t>https://mcp.opencaselaw.ch/entscheid/vd_gerichte_PE21.010730</w:t>
      </w:r>
    </w:p>
    <w:p>
      <w:r>
        <w:t>FR: VD_GERICHTE PE21.010730 du 17 décembre 2021</w:t>
      </w:r>
    </w:p>
    <w:p>
      <w:r>
        <w:t>IT: VD_GERICHTE PE21.010730 del 17 dicembre 2021</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auprès de l’autorité compétente, par la partie plaignante qui a qualité pour recourir (art. 382 al. 1 CPP), le recours est recevable.</w:t>
      </w:r>
    </w:p>
    <w:p>
      <w:r>
        <w:t>- 5 -</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w:t>
      </w:r>
    </w:p>
    <w:p>
      <w:r>
        <w:t>- 6 -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2.1</w:t>
      </w:r>
    </w:p>
    <w:p>
      <w:r>
        <w:t>Conformément à l’art. 310 al. 1 CPP, le ministère public rend immédiatement une ordonnance de non-entrée en matière s’il ressort de la dénonciation ou du rapport de police que les éléments constitutifs de l’infraction ou que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2.2.1</w:t>
      </w:r>
    </w:p>
    <w:p>
      <w:r>
        <w:t>A teneur de l’art. 146 CP (Code pénal suisse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fallacieuses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 dupe, en raison de sa situation personnelle (faiblesse d’esprit, inexpérience, grand âge ou maladie), n’est pas en mesure de procéder à une vérification et que l’auteur exploite cette situation (ATF 143 IV 302 consid. 1.3 ; ATF 142 IV 153 consid. 2.2.2 ; ATF 135 IV 76 consid. 5.2 ; TF 6B_844/2020 du 24 mars 2021 consid. 2.3.1). L’astuce n’est pas réalisée si la dupe pouvait se protéger avec un minimum d’attention ou éviter l’erreur avec le minimum de prudence que l’on pouvait attendre d’elle. Il n’est cependant pas nécessaire qu’elle</w:t>
      </w:r>
    </w:p>
    <w:p>
      <w:r>
        <w:t>- 7 - ait fait preuve de la plus grande diligence ou qu’elle ait recouru à toutes les mesures possibles pour éviter d’être trompée. L’astuce n’est exclue que si la dupe n’a pas procédé aux vérifications élémentaires qu’on pouvait attendre d’elle au vu des circonstances. Une co-responsabilité de la dupe n’exclut toutefois l’astuce que dans des cas exceptionnels (ATF 147 IV 73 consid. 3.1 et 3.2 ; ATF 143 IV 302 consid. 1.4 ; AFT 142 IV 153 consid. 2.2.2 ; ATF 135 IV 76 consid. 5.2 ; TF 6B_844/2020 du 24 mars 2021 consid. 2.3.1). Il n’est donc pas nécessaire que la dupe soit exempte de la moindre faute (TF 6B_819/2018 du 25 janvier 2019 consid. 3.5 et la référence citée). D’après la jurisprudence et la doctrine, l’attention que l’on peut attendre de la dupe doit faire l’objet d’un examen personnel et individuel. En effet, le Tribunal fédéral commande, dans le cadre de cet examen, de prendre en considération la faiblesse d’esprit de la victime, son inexpérience, son âge, ou toute autre circonstance qui a pour conséquence que celle-ci se trouve dans un état de dépendance ou dans un rapport de soumission dont l’auteur profite pour la tromper (TF 6B_383/2013 du 9 septembre 2013 consid. 2.2.1). Tel est le cas lorsque l’auteur met à profit un rapport de confiance qu’il a créé avec sa victime (CREP du 8 octobre 2019/819 consid. 3.2). L’exploitation de semblables situations constitue l’une des caractéristiques de l’astuce (TF 6B_898/2017 du 8 mars 2018 consid. 3.2 ; CREP du 1er novembre 2019/878 consid. 2.2.4).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2.3</w:t>
      </w:r>
    </w:p>
    <w:p>
      <w:r>
        <w:t>En l’espèce, le plaignant a exposé dans sa plainte avoir remis plusieurs sommes d’argent à R.________, qui lui aurait annoncé qu’elle l’aimait. En dernier lieu, elle lui aurait dit qu’elle avait trouvé un appartement dans lequel ils vivraient ensemble. Dans ce cadre, elle lui</w:t>
      </w:r>
    </w:p>
    <w:p>
      <w:r>
        <w:t>- 8 - aurait transmis les coordonnées de la prétendue bailleresse et le plaignant l’aurait contactée. Celle-ci lui aurait déclaré que l’appartement était libre et c’est en raison de cette déclaration qu’il aurait opéré le versement d’une part du loyer. Avec la procureure, on peut s’étonner de l’absence de méfiance du recourant. Toutefois, il ne faut pas perdre de vue que la mesure de la diligence n’est pas objective et doit être examinée de cas en cas, au vu des circonstances. Or, en l’espèce, faute d’instruction, on ne sait rien de la situation dans laquelle se trouvait le plaignant au moment des faits, si ce n’est qu’il paraît avoir été la victime d’une série d’affirmations fallacieuses visant à le mettre en confiance et à l’assujettir, puis à lui faire payer diverses sommes d’argent, en dernier lieu pour obtenir un appartement. A ce stade, la commission d’une escroquerie ne paraît pas pouvoir être exclue, d’autant que, pour la location de l’appartement, il semble y avoir eu l’intervention d’un tiers (la fausse propriétaire) et une forme de mise en scène ou de stratagème, éléments qui pourraient avoir conforté le plaignant dans son erreur. Dans ces conditions, c’est à tort que la procureure a d’emblée rendu une ordonnance de non-entrée en matière. Il lui incombera d’ouvrir une instruction et notamment d’entendre la prévenue sur les faits qui lui sont reprochés, respectivement d’entendre le plaignant, afin de déterminer sa situation personnelle, et d’identifier à son endroit, le cas échéant, la présence d’une des circonstances mentionnées par la jurisprudence précitée, ayant pour conséquence qu’il était dans un rapport de dépendance ou de soumission dont la prévenue aurait profité.</w:t>
      </w:r>
    </w:p>
    <w:p>
      <w:r>
        <w:rPr>
          <w:b/>
        </w:rPr>
        <w:t>E. 3</w:t>
      </w:r>
    </w:p>
    <w:p>
      <w:r>
        <w:t>En définitive, le recours doit être admis, l’ordonnance entreprise annulée et la cause renvoyée au Ministère public pour qu’il procède dans le sens des considérants. Le recourant, qui a procédé avec l’assistance d’un avocat de choix, a droit à une indemnité pour les dépenses occasionnées par la procédure de recours. Cette indemnité sera fixée à 600 fr., sur la base de</w:t>
      </w:r>
    </w:p>
    <w:p>
      <w:r>
        <w:t>- 9 - deux heures d’activité nécessaire d’avocat au tarif horaire de 300 fr. (art. 26a al. 3 TFIP [tarif des frais de procédure et indemnités en matière pénale du 28 septembre 2010 ; BLV 312.03.1]). Il faut y ajouter 2 % pour les débours (art. 19 al. 2 TDC [tarif des dépens en matière civile du 23 novembre 2010 ; BLV 270.11.6] par renvoi de l’art. 26a al. 6 TFIP), soit 12 fr., et 7,7 % de TVA sur le tout, soit 47 fr. 15, ce qui correspond à un total en chiffres arrondis de 660 francs. Vu le sort du recours, les frais d’arrêt, par 880 fr., ainsi que l’indemnité allouée au recourant, par 660 fr., seront laissés à la charge de l’Etat (art. 428 al. 4 CPP). Par ces motifs, la Chambre des recours pénale prononce : I. Le recours est admis. II. L’ordonnance du 30 juin 2021 est annulée. III. Le dossier de la cause est renvoyé au Ministère public de l’arrondissement du Nord vaudois pour qu’il procède dans le sens des considérants. IV. Une indemnité de 660 fr. (six cent soixante francs), est allouée à M.________ pour la procédure de recours, à la charge de l’Etat. V. Les frais d’arrêt, par 880 fr. (huit cent huitante francs), sont laissés à la charge de l’Etat. VI. L’arrêt est exécutoire. Le président : La greffière :</w:t>
      </w:r>
    </w:p>
    <w:p>
      <w:r>
        <w:t>- 10 - Du Le présent arrêt, dont la rédaction a été approuvée à huis clos, est notifié, par l'envoi d'une copie complète, à : - Me Laurent Gilliard, avocat (pour M.________),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