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PE21.010724 vom 9. November 2023</w:t>
      </w:r>
    </w:p>
    <w:p>
      <w:r>
        <w:t>VD Tribunal cantonal, 2023-11-09, FR</w:t>
      </w:r>
    </w:p>
    <w:p>
      <w:r>
        <w:rPr>
          <w:b/>
        </w:rPr>
        <w:t xml:space="preserve">Quelle: </w:t>
      </w:r>
      <w:r>
        <w:t>https://mcp.opencaselaw.ch/entscheid/vd_gerichte_PE21.010724</w:t>
      </w:r>
    </w:p>
    <w:p>
      <w:r>
        <w:t>FR: VD_GERICHTE PE21.010724 du 9 novembre 2023</w:t>
      </w:r>
    </w:p>
    <w:p>
      <w:r>
        <w:t>IT: VD_GERICHTE PE21.010724 del 9 novembre 2023</w:t>
      </w:r>
    </w:p>
    <w:p>
      <w:pPr>
        <w:pStyle w:val="Heading2"/>
      </w:pPr>
      <w:r>
        <w:t>Erwägungen</w:t>
      </w:r>
    </w:p>
    <w:p>
      <w:r>
        <w:rPr>
          <w:b/>
        </w:rPr>
        <w:t>E. 14</w:t>
      </w:r>
    </w:p>
    <w:p>
      <w:r>
        <w:t>al.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w:t>
      </w:r>
    </w:p>
    <w:p>
      <w:r>
        <w:t>- 14 - TF 6B_831/2009 du 25 mars 2010 consid. 2.2.1). Comme règle d’appréciation des preuves, le principe « in dubio pro reo »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4.2 Avec les premiers juges, et malgré l’écoulement du temps et d’éventuelles incertitudes chronologiques, il faut retenir les faits dénoncés et décrits dans l’acte d’accusation. Ces faits reposent en effet sur plusieurs éléments probants. D’abord et surtout, le récit de la victime est riche en détails contextuels, renouvelés devant toutes les instances judiciaires et scolaires ainsi que lors du dévoilement ayant abouti à la dénonciation de la Direction générale de l’enfance et de la jeunesse, passant par des confidences provisoirement sans suite faites à la directrice du foyer et à une amie. Un tel processus exclut une dénonciation qui ne serait pas authentique. A cela s’ajoutent les éléments liés à la détérioration de l’état psychique de la victime, à savoir son échec scolaire, ses fugues, son questionnement sexuel avec difficultés avec son petit ami, ses réminiscences (« flashback »), son anxiété, ses troubles du sommeil, sa phobie des contacts et ses scarifications. Si ces éléments ne sont pas des preuves en soi, ils confirment l’appréciation de la crédibilité de la victime et l’authenticité de sa dénonciation. A l’inverse, le discours du prévenu est purement défensif ; c’est ainsi, qu’il a fini par exclure s’être trouvé seul avec l’enfant, comme il l’a soutenu en dernier lieu à l’audience d’appel, alors qu’à l’évidence il ne pouvait pas se souvenir de tous les moments passés au domicile de sa compagne d’alors, soit la mère de la plaignante. Peu importe, selon ce que fait valoir la défense, qu’il ne se soit pas contredit formellement à ce sujet. Ce qui est déterminant dans</w:t>
      </w:r>
    </w:p>
    <w:p>
      <w:r>
        <w:t>- 15 - l’appréciation de ses déclarations, c’est qu’il essaie en vain d’exclure toute possibilité d’avoir été seul avec la victime, alors que, s’il n’avait rien à se reprocher, il admettrait cette éventualité. Pour le reste, les autres objections de la défense ne modifient pas la conviction qui ne peut que s’imposer au sujet du viol. Le fait que la plaignante ait eu de la peine à situer les faits dans le temps n’a rien d’anormal. Ils se sont en effet produits alors qu’elle était très jeune, sans notion assimilée de sexualité. En outre, il s’est écoulé plusieurs années avant qu’elle n’ose dévoiler les faits, également en raison des menaces qui ont dû l’effrayer. Il n’y a donc rien d’extraordinaire à se tromper sur son âge au moment des faits, même de plusieurs années. Il est en effet notoire que les notions de chronologie ne sont pas maitrisées durant l’enfance. Il n’est donc pas surprenant que ces différents âges soient repris dans les rapports ders thérapeutes qui ne font, à cet égard, que retranscrire les indications données par l’enfant. Quant au fait allégué selon lequel la mère n’aurait rien remarqué à son retour à domicile, on n’en sait rien. Il ne peut être exclu qu’elle ait soupçonné quelque chose et n’en ait jamais parlé à personne. De toute manière, la suite de son comportement démontre qu’il n’y avait rien à attendre d’elle du fait même de son désintérêt quant à la situation de sa fille. Les faits tels que décrits dans l’acte d’accusation sont donc établis à satisfaction de droit. Leurs qualifications juridiques (actes d’ordre sexuel avec un enfant et viol) ne sont pas contestées en tant que telles et elles sont évidentes. 5. 5.1 L’appelant invoque une violation du principe de célérité. 5.2 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w:t>
      </w:r>
    </w:p>
    <w:p>
      <w:r>
        <w:t>- 16 - dans le délai que la nature de l'affaire et les circonstances font apparaître comme raisonnable (ATF 143 IV 373 consid. 1.3.1 p. 377 ; cf. ATF 130 I 312 consid. 5.1 p. 331 s.). Le principe de la célérité s'applique à tous les stades de la procédure et impose aux autorités de mener la procédure pénale sans désemparer, dès le moment où le prévenu est informé des soupçons qui pèsent sur lui, afin de ne pas le maintenir inutilement dans l'angoisse (ATF 143 IV 373 consid. 1.3.1 p. 377 ; ATF 133 IV 158 consid. 8 p. 170). Le caractère raisonnable de la durée d'une procédure s'apprécie suivant les circonstances de la cause, lesquelles commandent généralement une évaluation globale (ATF 143 IV 373 consid. 1.3.1 p. 377). Les critères pertinents à cet égard sont notamment la gravité des infractions qui sont reprochées, la complexité des faits, les mesures d'instruction requises, la difficulté et l'urgence de la cause, le comportement des autorités compétentes et celui du prévenu et à qui le retard de procédure doit être imputé (ATF 130 I 269 consid. 3.2 p. 273 ; ATF 124 I 139 consid. 2c p. 142 ; plus récemment TF 6B_1521/2022 du 27 avril 2023 consid. 2.1.1 ; TF 6B_406/2022 du 31 août 2022 consid. 3.1.1 et les réf. citées ; TF 6B_834/2020 du 3 février 2022 consid. 1.3). S'agissant du comportement du prévenu, celui-ci ne peut certes pas être tenu à une collaboration active et on ne saurait lui reprocher de tirer pleinement parti des voies de recours qui lui sont offertes par le droit interne mais on pourra tenir compte des démarches purement dilatoires qu'il aura pu entreprendre (TF 6B_406/2022 du 31 août 2022, précité, consid. 3.1.1 et les réf. citées). Il s'agit d'une exigence à l'égard des autorités pénales, qui se distingue de la circonstance atténuante du temps relativement long (cf. art. 48 let. e CP), laquelle est liée à l'approche de la prescription et suppose que l'accusé se soit bien comporté dans l'intervalle. La violation du principe de célérité peut avoir pour conséquence la diminution de la peine, parfois l'exemption de toute peine ou encore une ordonnance de classement en tant qu'ultima ratio dans les cas les plus extrêmes (ATF 143 IV 373 consid. 1.4.1 ; ATF 135 IV 12 consid. 3.6 ; TF 6B_1521/2022 du 27</w:t>
      </w:r>
    </w:p>
    <w:p>
      <w:r>
        <w:t>- 17 - avril 2023 consid. 2.1.2 ; TF 6B_170/2020 du 15 décembre 2020 consid. 1.1 ; TF 6B_203/2019 du 10 avril 2019 consid. 3.1). 5.3 La relative ancienneté des faits s’explique avant tout par la durée écoulée entre les actes incriminés, survenus en octobre 2016, et leur dénonciation, le 12 avril 2021, ce qui n’est évidemment pas imputable aux autorités judiciaires. Contrairement à ce que soutient l’appelant, il a bien été procédé à des actes de procédure entre le 2 juillet 2021 (contact téléphonique de la procureure avec la police et lettres à A.P.________ et B.P.________) et le 1er mars 2022, puisque le procès-verbal des opérations en recense sept, en particulier l’audition de la plaignante par la police (PV du 11 août 2021 reçu le 30 août suivant), l’établissement d’un rapport d’audition de la psychologue LAVI (PV du 11 août 2021 reçu le 30 août suivant également), l’établissement de fiches à conviction et le dépôt d’un rapport d’investigation (compte rendu du 8 septembre 2021 reçu le 17 septembre suivant). D’une manière générale, le déroulement de l’enquête jusqu’au jugement de première instance fait état d’opérations de procédure régulières et sans temps mort notable, sur les 16 pages que compte le relevé des opérations. Le délai d’un peu plus de deux ans entre l’arrestation du prévenu à l’étranger (le 25 août 2022), suivie de son extradition (le 23 septembre 2022), et son jugement est ainsi parfaitement raisonnable au regard des critères jurisprudentiels. On ne discerne donc aucune violation du principe de célérité. 6. 6.1 L’appelant soutient ensuite, à titre subsidiaire, que la quotité de la peine serait excessive. 6.2 6.2.1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w:t>
      </w:r>
    </w:p>
    <w:p>
      <w:r>
        <w:t>- 18 -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p. 220 ; ATF 141 IV 61 consid. 6.1.1 p. 66 s.). 6.2.2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w:t>
      </w:r>
    </w:p>
    <w:p>
      <w:r>
        <w:t>- 19 -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 6.3 Le prévenu a violé brutalement une enfant de onze ans et demi qui était la fille de sa compagne et l’a menacée si elle parlait. Enferré dans le déni, il ne fait preuve d’aucun amendement. Au contraire, il a préféré traiter la plaignante de menteuse, la qualifiant au passage de droguée (jugement attaqué en p. 24). La gravité objective de l’ace et l’absence de toute prise de conscience dictent donc une peine sévère. On ne discerne aucun facteur à décharge. En particulier, l’absence d’antécédents de l’auteur constitue un facteur neutre sous l’angle de l’art. 47 CP (ATF 136 IV 1). L’écoulement du temps depuis la commission de l’infraction n’est pas significatif au regard de l’art. 48 let. e CP car on est loin de la prescription de 15 ans applicable (art. 97 al. 1 let. b CP). La culpabilité de l’auteur est bien écrasante, comme l’ont retenu les premiers juges. L’infraction la plus grave à réprimer est celle de viol, passible d’une peine privative de liberté d’un an au moins et de dix</w:t>
      </w:r>
    </w:p>
    <w:p>
      <w:r>
        <w:t>- 20 - ans au plus (art. 190 CP). Cette infraction doit à elle seule être réprimée par une peine privative de liberté de six ans. En application du principe de l’aggravation, cette peine doit être augmentée d’un an par l’effet du concours d’infractions pour réprimer l’infraction d’actes d’ordre sexuel avec un enfant (art. 187 CP). C’est donc une peine privative de liberté de sept ans qui doit être prononcée. Partant, la peine doit être confirmée, étant précisé que la conclusion subsidiaire consistant à demander la réduction de la peine à un an est indécente. 7. 7.1 L’appelant conteste encore le montant du tort moral alloué au père de la plaignante. 7.2 Aux termes de l'art. 49 al. 1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p. 342 ; ATF 130 III 699 consid. 5.1 p. 704 s. et les arrêts cités). On ne peut exclure a priori le droit des parents de victimes d'abus sexuels à une indemnité pour tort moral, mais seules des atteintes d'une gravité exceptionnelle peuvent en justifier l'allocation (TF 1B_62/2019 du 19 mars 2019 consid. 3 ; TF 6B_1063/2018 du 26 novembre 2018 consid. 2.2 ; TF 6B_962/2018 du 14 novembre 2018</w:t>
      </w:r>
    </w:p>
    <w:p>
      <w:r>
        <w:t>- 21 - consid. 1.2 ; TF 6B_1135/2016 du 24 novembre 2017 consid. 2 ; TF 6B_707/2014 du 18 décembre 2014 consid. 1.1). Le parent d'un enfant abusé sexuellement doit être touché avec la même intensité qu'en cas de décès de l'enfant (ATF 139 IV 89 consid. 2.4.1 ; TF 6B_160/2014 du 26 août 2014 consid. 3.1 ; TF 6B_591/2012 du 21 décembre 2012 consid. 2.4.1). 7.3 Le viol commis au préjudice de la plaignante, âgée de onze ans et demi lors des faits, comme déjà relevé, a eu pour effet d’anéantir durablement la vie de la lésée, au point qu’aujourd’hui elle en souffre encore quotidiennement (jugement, p. 7). L’acte dommageable doit donc être considéré comme une atteinte d’une gravité exceptionnelle. Il justifie, dans son principe, l’allocation d’un montant pour tort moral au père, lequel a été l’unique soutien familial de la plaignante. Pour le reste, le montant alloué n’est pas contesté en tant que tel et il est adéquat. 8. A l’audience d’appel, le prévenu a demandé l’imputation sur la peine d’une durée de 446 jours au titre de la détention avant jugement, en lieu et place de celle de 416 jours seulement prévue par le chiffre II du dispositif du jugement. La détention extraditionnelle en Croatie a débuté le 25 août 2022, jour de l’arrestation du prévenu (P. 17, p. 5). L’intéressé a été extradé le 23 septembre 2022 (P. 19), soit après une détention d’une durée de 30 jours calendaires. Or, le jugement retient une détention avant jugement ne débutant que le 23 septembre 2022. Partant, le total de 416 jours pris en compte au titre de la déduction de la détention subie avant jugement n’inclut pas la détention extraditionnelle. L’art. 14 EIMP (Loi sur l’entraide pénale internationale ; RS 351.1) prévoit que la détention préventive subie à l’étranger ou la détention provoquée à l’étranger par l’une ou l’autre des procédures que prévoit la présente loi est imputée conformément à l’art. 51 CP.</w:t>
      </w:r>
    </w:p>
    <w:p>
      <w:r>
        <w:t>- 22 - La détention extraditionnelle doit donc être entièrement imputée sur la peine, soit à raison de 30 jours. La durée totale de la détention avant jugement est ainsi de 446 jours. Ce point ne figurait pas dans les conclusions figurant dans la déclaration d’appel, lesquelles ne peuvent pas être étendues en cours d’instance (cf. Moreillon/Parein- Reymond, Petit commentaire CPP, 2e éd., Bâle 2016, n. 33 ad art. 399 CPP). Il y a donc matière à rectification d’office du jugement à cet égard conformément à l’art. 404 al. 2 CPP, et non à admission partielle de l’appel. La détention subie depuis le jugement de première instance sera en outre déduite conformément à l’art. 51 CP. 9. Le maintien de l’appelant en détention pour des motifs de sûreté sera ordonné pour garantir l’exécution de la peine. En effet, le prévenu, ressortissant étranger, est dépourvu d’attaches avec la Suisse. Partant, il pourrait être tenté de prendre la fuite vers son pays d’origine (art. 221 al. 1 let. a CPP). 10. Vu l’issue de l’appel, l’émolument d’appel, par 2’570 fr. (art. 21 al. 1 et 2 TFIP [tarif des frais de procédure et indemnités en matière pénale du 28 septembre 2010 ; RSV 312.03.1]), sera mis à la charge de l’appelant, qui succombe (art. 428 al. 1 CPP). Outre l’émolument, les frais d’appel comprennent les indemnités allouées au défenseur d’office de l’appelant et aux conseils juridiques gratuits des parties plaignantes (art. 422 al. 2 let. a CPP). L’indemnité en faveur de Me Radivoje Stamenkovic doit être arrêtée après modération de la liste d’opérations produite (P. 118). Pour ce qui est de l’année 2023, la liste comporte des postes qui ne sauraient être pris en compte. D’abord, la liste comporte divers postes en relation avec des activités déployées auprès de proches de l’appelant, ainsi ceux intitulés « Entretien téléphonique avec la maman »</w:t>
      </w:r>
    </w:p>
    <w:p>
      <w:r>
        <w:t>- 23 - et « Entretien téléphonique avec la famille ». Il s’agit d’opérations qui n’entrent pas dans la mission du défenseur d’office. Partant, elles ne sauraient être indemnisées à ce titre. Ensuite, la liste comporte la durée effective de diverses vacations, alors que seul le forfait doit être pris en compte à ce titre. La durée des postes à prendre en compte est dès lors la suivante, en minutes : 70 + 10 + 20 + 15 + 180 + 90 (ces deux derniers postes étant afférents à la rédaction de la déclaration d’appel) + 20, soit 405 minutes, soit 6 heures et 45 minutes. Pour 2024, il y a lieu également de retrancher les postes afférents à des activités déployées auprès de proches de l’appelant. En outre, les opérations « Préparation audience jugement », de 3 heures et d’une heure respectivement, sont d’une durée excessive, compte tenu de la connaissance du dossier acquise en première instance et du temps consacré à la rédaction de l’appel ; seule une durée d’une heure doit être retenue à ce titre. Il y a donc lieu de prendre en compte les durées suivantes, en minutes : 15 + 15 + 15 + 15 + 10 + 60 + 60 (au lieu, comme déjà relevé, de 4 heures au total au titre de la préparation de l’audience d’appel) + 75 (durée de l’audience d’appel) + 60 (opérations post-audience d’appel), soit 325 minutes, soit 5 heures et 25 minutes. La durée d’activité à indemniser doit ainsi être fixée à 12 heures et 10 minutes, au tarif horaire de 180 francs. Aux honoraires de 2'190 fr., il convient d’ajouter des débours forfaitaires à concurrence de 2 % (art. 3bis al. 1 RAJ [règlement du 7 décembre 2010 sur l'assistance judiciaire en matière civile ; BLV 211.02.3], applicable par renvoi de l’art. 26b TFIP), ainsi que six vacations forfaitaires à 120 fr., à la prison, à Curabilis et, enfin, à l’audience d’appel, ce alors même que l’un de ces déplacements n’a pas été suivi d’un entretien avec le client, vu l’état mental de ce dernier le jour en question. A ces honoraires bruts de 2'953 fr. 80 doit être ajoutée la TVA, au taux de 7,7 % et au taux de 8,1 %, s’agissant respectivement des opérations antérieures et postérieures au 1er janvier 2024. L’indemnité s’élève ainsi à 3’186 fr. 65, TVA comprise.</w:t>
      </w:r>
    </w:p>
    <w:p>
      <w:r>
        <w:t>- 24 - L’indemnité en faveur de Me Jean-Nicolas Roud doit être arrêtée sur la base de la liste d’opérations produite (P. 117), en tenant compte, en outre, de la durée de l’audience d’appel. La durée d’activité à indemniser doit ainsi être fixée à une heure en 2023 et à 10,25 heures en 2024. Aux honoraires de 2'025 fr., il convient d’ajouter des débours forfaitaires à concurrence de 2 %, ainsi qu’une vacation forfaitaire de 120 fr. pour l’audience d’appel. L’indemnité s’élève ainsi à 2’361 fr. 80, TVA comprise. L’indemnité en faveur de Me Dan Bally doit être arrêtée sur la base de la liste d’opérations produite, à une réserve près cependant. En effet, il convient de ramener à la durée effective de l’audience d’appel, soit à 75 minutes, le poste « Assisté client audience du 20.3.2024 », ce d’autant que l’intimé a été dispensé de comparaître personnellement. La durée d’activité à indemniser doit ainsi être fixée à 355 minutes, au tarif horaire de 180 francs. Aux honoraires de 1'065 fr., il convient d’ajouter des débours forfaitaires à concurrence de 2 %, ainsi qu’une vacation forfaitaire de 120 fr. pour l’audience d’appel. A ces honoraires bruts de 1'206 fr. 30 doit être ajoutée la TVA, au taux de 8,1 %. L’indemnité s’élève ainsi à 1'304 fr., TVA comprise. Les indemnités de défenseur d’office et de conseil juridique gratuit mentionnées ci-dessus sont remboursables à l’Etat de Vaud par M.________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