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PE21.010676 vom 14. April 2023</w:t>
      </w:r>
    </w:p>
    <w:p>
      <w:r>
        <w:t>VD Tribunal cantonal, 2023-04-14, FR</w:t>
      </w:r>
    </w:p>
    <w:p>
      <w:r>
        <w:rPr>
          <w:b/>
        </w:rPr>
        <w:t xml:space="preserve">Quelle: </w:t>
      </w:r>
      <w:r>
        <w:t>https://mcp.opencaselaw.ch/entscheid/vd_gerichte_PE21.010676</w:t>
      </w:r>
    </w:p>
    <w:p>
      <w:r>
        <w:t>FR: VD_GERICHTE PE21.010676 du 14 avril 2023</w:t>
      </w:r>
    </w:p>
    <w:p>
      <w:r>
        <w:t>IT: VD_GERICHTE PE21.010676 del 14 aprile 2023</w:t>
      </w:r>
    </w:p>
    <w:p>
      <w:pPr>
        <w:pStyle w:val="Heading2"/>
      </w:pPr>
      <w:r>
        <w:t>Erwägungen</w:t>
      </w:r>
    </w:p>
    <w:p>
      <w:r>
        <w:rPr>
          <w:b/>
        </w:rPr>
        <w:t>E. 4</w:t>
      </w:r>
    </w:p>
    <w:p>
      <w:r>
        <w:t>mars 2021, alors qu’il savait que ses déclarations étaient mensongères.</w:t>
      </w:r>
    </w:p>
    <w:p>
      <w:r>
        <w:t>- 25 - Le motif soulevé par l’appelant est dès lors mal fondé.</w:t>
      </w:r>
    </w:p>
    <w:p>
      <w:r>
        <w:rPr>
          <w:b/>
        </w:rPr>
        <w:t>E. 4.4.1</w:t>
      </w:r>
    </w:p>
    <w:p>
      <w:r>
        <w:t>A. fait ensuite grief au premier juge d’avoir retenu, concernant les faits qui se sont déroulés durant l’après-midi du 4 mars 2021 à [...] au parking du [...] (cas 2 de l’acte d’accusation), la version des faits présentée par E. au détriment de la sienne. Selon l’appelant, le premier juge aurait dû retenir qu’il était compréhensible qu’il ait cherché à obtenir des explications après le travail compte tenu du coup de poing qu’il aurait reçu le matin. Il conteste également avoir donné des coups de poing dans les côtes de E. et concède seulement lui avoir donné des coups avec les mains ouvertes, sur le casque, ainsi que des coups de pied au niveau des cuisses. L’appelant réfute aussi avoir donné un coup de pied dans le motocycle du plaignant, affirmant qu’il aurait été agrippé par E. et, qu’en le repoussant, il aurait accidentellement fait tomber le scooter. D’après l’appelant, le tribunal aurait mal apprécié les certificats médicaux produits, en retenant que celui qu’il avait déposé n’établissait pas qu’il avait reçu un coup de poing le matin mais que le constat produit par E. établissait qu’il avait subi des lésions lors de l’altercation survenue l’après-midi. A cet égard, il invoque que le constat médical produit par l’appelant ne précise pas si les lésions avaient un caractère ancien ou récent et qu’en tant que le certificat établi fait état de douleurs costales, il ne peut être exclu que l’intéressé ait simulé, les médecins n’ayant pas précisé qu’ils avaient été attentifs à cette question en dépit des recommandations existant en la matière. L’appelant relève aussi que c’est à tort que le tribunal n’a pas retenu que E. s’était peut-être blessé au niveau costal en faisant de la boxe, vu qu’il s’agit d’un sport qu’il pratiquerait régulièrement. A. se plaint également du fait que le tribunal n’a pas tenu compte des certificats médicaux établis par les Drs[...] et [...] qu’il a produits et qui attestent qu’il souffre de lésions au niveau de son épaule gauche. Il en déduit qu’il n’est pas apte à se battre. S’agissant des souffrances psychiques, l’appelant se plaint du fait que le tribunal n’a pas</w:t>
      </w:r>
    </w:p>
    <w:p>
      <w:r>
        <w:t>- 26 - tenu compte du certificat qu’il a produit alors qu’il s’est fondé sur celui déposé par E. – constat qui fait état d’une embuscade, ce que le plaignant n’a jamais affirmé lui-même –. Il fait encore grief au tribunal d’avoir tenu compte des avertissements prononcées à son encontre par V.________. Il soutient que la lecture de ces pièces permet d’établir qu’il n’a jamais fait preuve de violence physique par le passé et il fait valoir que le tribunal n’avait pas à se prononcer sur sa moralité mais sur sa capacité réelle à se rendre coupable de lésions corporelles simples. L’appelant reproche encore au premier juge d’avoir retenu qu’il ne s’était pas excusé pour les coups qu’il aurait donnés, qu’il s’était apitoyé sur son sort et qu’il avait considéré que E. devait payer pour son tort. Le tribunal aurait sorti de son contexte une phrase qu’il avait dite dans le cadre de l’instruction, à savoir qu’il avait espéré que cela « servirait de leçon à E. ». L’appelant soutient qu’il n’avait pas à s’excuser pour des faits qu’il n’a pas commis et qu’il a seulement voulu, durant l’après-midi du 4 mars 2021, comprendre pourquoi E. l’avait frappé le matin, et qu’alors qu’il voulait lui parler, ce dernier l’avait agrippé par les habits et qu’une bagarre s’en était suivie. Il avait espéré que cette bagarre débutée par E. lui servirait de leçon.</w:t>
      </w:r>
    </w:p>
    <w:p>
      <w:r>
        <w:rPr>
          <w:b/>
        </w:rPr>
        <w:t>E. 4.4.2</w:t>
      </w:r>
    </w:p>
    <w:p>
      <w:r>
        <w:t>En présence de versions diamétralement opposées présentées par les parties, le tribunal a retenu que les faits s’étaient déroulés de la manière décrite par E.. Le premier juge a fondé sa conviction sur plusieurs éléments probants. Il a ainsi considéré, premièrement, que le comportement adopté par A. avant l’altercation montrait qu’il avait cherché la confrontation avec son collègue et qu’il était déterminé à en découdre avec lui, puisqu’il avait attendu E. dans le parking de l’entreprise pour lui signifier qu’il voulait avoir une « explication » avec lui et qu’il l’avait ensuite suivi durant plusieurs minutes sur la route du [...], puis sur la route de [...], à [...] et l’avait contraint à s’arrêter (jugement p. 24). Le tribunal a retenu, deuxièmement, que E. avait produit un constat médical qui attestait d’une fracture à une côte et d’un hématome au niveau de la crête nasale (P. 10/2), lésions qui étaient parfaitement</w:t>
      </w:r>
    </w:p>
    <w:p>
      <w:r>
        <w:t>- 27 - compatibles avec les faits qu’il avait décrits, soit le fait d’avoir reçu un violent coup de poing dans les côtes, qui l’avait fait tomber, puis d’avoir continué à subir les assauts d’A., qui avait voulu lui enlever son casque pour lui donner des coups de poing au visage. Le plaignant avait aussi produit un certificat établi le 26 avril 2021 par [...], psychothérapeute (annexe PV aud. 7 [recte : aud. 8]), qui attestait de l’existence d’un stress post-traumatique, d’un état de vigilance et d’un sentiment d’insécurité, ce qui renforçait la conviction selon laquelle l’altercation avait été violente (jugement p. 25, 1er paragraphe). Le premier juge a retenu, troisièmement, qu’A. s’était fait remarquer sur son lieu de travail par son attitude querelleuse et agressive à l’endroit de ses collègues. Il avait invectivé et menacé au moins trois autres collaborateurs de V.________ entre 2018 et 2019 (P. 20). Sa lettre de licenciement du 8 mars 2021 précisait qu’à plusieurs reprises il avait été averti que son impulsivité et sa perte de maîtrise n’étaient pas acceptables et que ses collègues craignaient ses colères (P. 18) (jugement p. 25, 2e paragraphe). Le tribunal a retenu, quatrièmement, qu’au lieu de s’excuser, A. s’était apitoyé sur son sort en disant qu’il ne se sentait pas bien et il avait chargé un collègue, N., d’aller parler à E. pour qu’il retire sa plainte (jugement p. 25 3e paragraphe). Enfin, le tribunal s’est fondé sur le fait qu’A. avait déclaré, lors d’une audition, qu’il pensait que l’altercation du 4 mai 2021 [recte : 4 mars 2021] avait servi de leçon à E. (PV Aud. 5, p. 3 et 4) (jugement p. 26). La Cour de céans considère que les éléments retenus par le tribunal sont parfaitement clairs et pertinents. E. a toujours été constant dans son récit sur le déroulement des faits et a maintenu sa version pendant toute la procédure, que cela soit devant la police, la procureure ou les médecins. Par ailleurs, il n’est pas crédible qu’A. ait juste voulu discuter avec son collègue, compte tenu du comportement qu’il a eu. Le</w:t>
      </w:r>
    </w:p>
    <w:p>
      <w:r>
        <w:t>- 28 - fait d’attendre celui-ci à la sortie du travail, de l’observer et de le suivre en voiture et, enfin, de lui imposer une confrontation alors que E. avait clairement dit qu’il ne le souhaitait pas, tend à démontrer que le prévenu cherchait plus qu’une simple discussion, qui aurait parfaitement pu avoir lieu sur le parking de l’entreprise. C’est bien une confrontation physique que l’intéressé recherchait en s’efforçant de se retrouver seul avec E.. L’appelant est parfaitement capable d’adopter un tel comportement, comme cela résulte de son dossier personnel (cf. consid. 4.3.2 ci-dessus au sujet des motifs de licenciement et des avertissements prononcés par l’employeur). Au demeurant, si A. avait véritablement été frappé le matin même, il aurait certainement hésité avant de s’en prendre à nouveau à E., qu’il décrit comme un boxeur, et aurait préféré avoir une discussion devant témoins. C’est bien pour en découdre avec E. qu’il a contraint celui-ci, qui ne demandait rien, à le suivre. Au sujet du grief émis par l’appelant selon lequel le premier juge aurait dû retenir qu’il était normal qu’il ait cherché à parler à son collègue car celui-ci lui avait donné un coup de poing le matin, il n’est pas fondé, dans la mesure où il est établi qu’A. n’a pas reçu un tel coup de poing (cf. consid. 4.3.2 ci-dessus). En ce qui concerne l’appréciation effectuée par le tribunal portant sur les certificats produits par E., la Cour de céans ne discerne aucun argument pertinent. Le constat médical est parfaitement probant (P. 10). Il n’a pas été rédigé par des médecins du Service des urgences du CHUV, mais par des thérapeutes spécialisés en médecine des violences au sein du Centre universitaire romand de médecine légale (CURML). Au demeurant, le constat a été établi le lendemain de l’altercation et il décrit de manière précise les lésions constatées. Les médecins ne relèvent aucune contradiction ou incohérence entre le récit recueilli et leurs constatations. Certes, ils ne décrivent pas l’origine de chaque blessure, mais on ne voit pas comment ils le pourraient. Il n’en demeure pas moins que la nature des lésions et leur localisation sont compatibles avec les atteintes décrites par E. et que si certaines blessures n’avaient pas correspondu temporellement avec les faits en question, les médecins</w:t>
      </w:r>
    </w:p>
    <w:p>
      <w:r>
        <w:t>- 29 - n’auraient pas manqué de le relever. Enfin, contrairement à ce que soutient l’appelant, rien en permet de considérer que les thérapeutes se seraient laissé berner par un simulateur et ils ne se sont pas bornés à rapporter les douleurs décrites par le patient. S’agissant du certificat établi par la psychothérapeute de E., il atteste chez celui-ci d’un stress post-traumatique, d’un état de vigilance et d’un sentiment d’insécurité (annexe PV aud. 7) et rien ne permet de le remettre en question. En particulier, l’utilisation du terme « embuscade » devant cette praticienne n’a rien de surprenant ou d’excessif. Ce certificat constitue ainsi un élément de preuve supplémentaire tendant à confirmer que E. a été victime d’une agression de la part d’A.. Par ailleurs, le fait qu’A. souffre également des faits litigieux, comme l’établit le certificat établi par le Dr [...] et la Dre [...] (P. 36), n’a rien d’étonnant dans la mesure où, en s’accrochant à son récit, il ne peut que se sentir victime d’une injustice, d’un complot (il a dit d’ailleurs aux débats que les témoignages avaient été arrangés) et d’un sentiment de persécution. En ce qui concerne le comportement d’A. sur son lieu de travail à l’égard de certains collègues, il est documenté par pièces (P. 18 et P. 20) et confirmé par les témoignages recueillis. Cet élément de preuve est probant et c’est à juste titre que le premier juge en a tenu compte. Par ailleurs, le tribunal pouvait également tenir compte de l’état d’esprit de l’appelant, bien loin de reconnaître ses fautes et de s’excuser. Les difficultés rencontrées sur son lieu de travail et avec E. sont étroitement liées à cette mentalité qui transpire dans chacune de ses déclarations. En définitive, l’appréciation des faits et moyens de preuve à laquelle le premier juge a procédé ne prête pas le flan à la critique. Il doit ainsi être retenu que, durant l’après-midi du 4 mars 2021, au parking du [...], à [...], A. a asséné plusieurs coups de poing à E. au niveau des côtes, qu’il l’a fait tomber avec son scooter et qu’il a ensuite essayé de lui enlever son casque afin de lui donner un coup de poing au visage.</w:t>
      </w:r>
    </w:p>
    <w:p>
      <w:r>
        <w:t>- 30 - Partant, le motif soulevé par l’appelant est mal fondé.</w:t>
      </w:r>
    </w:p>
    <w:p>
      <w:r>
        <w:rPr>
          <w:b/>
        </w:rPr>
        <w:t>E. 5.1</w:t>
      </w:r>
    </w:p>
    <w:p>
      <w:r>
        <w:t>A. reproche au tribunal d’avoir violé le droit en le reconnaissant coupable de dénonciation calomnieuse (consid. 2.2) et en libérant E. de l’infraction de voies de fait, alors que ce dernier lui a donné un coup de poing, tel qu’en atteste le certificat médical qu’il a produit et au sujet duquel le tribunal a considéré qu’il attestait probablement d’une lésion occasionnée lors de la seconde altercation. L’appelant soutient que l’œdème est le résultat d’un coup de poing et que, partant, il n’est pas possible de retenir qu’il remplit les conditions de l’infraction de dénonciation calomnieuse.</w:t>
      </w:r>
    </w:p>
    <w:p>
      <w:r>
        <w:rPr>
          <w:b/>
        </w:rPr>
        <w:t>E. 5.2</w:t>
      </w:r>
    </w:p>
    <w:p>
      <w:r>
        <w:t>Les principes relatifs à la présomption d’innocence et à l’appréciation des preuves ont déjà été rappelés ci-dessus, de sorte qu’il y est renvoyé (cf. 4.2 supra).</w:t>
      </w:r>
    </w:p>
    <w:p>
      <w:r>
        <w:rPr>
          <w:b/>
        </w:rPr>
        <w:t>E. 5.3</w:t>
      </w:r>
    </w:p>
    <w:p>
      <w:r>
        <w:t>L’art. 303 ch. 1 al. 1 CP prévoit que celui qui aura dénoncé à l’autorité, comme auteur d’un crime ou d’un délit, une personne qu’il savait innocente, en vue de faire ouvrir contre elle une poursuite pénale, sera puni d’une peine privative de liberté ou d’une peine pécuniaire. Selon le ch. 2 de cette disposition, l’auteur est puni d’une peine privative de liberté d’un an au plus ou d’une peine pécuniaire si la dénonciation calomnieuse a trait à une contravention.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précité ; TF 6B_23/2022 du 29 novembre 2022 consid. 2.1.2 ; TF 6B_1248/2021 précité consid. 2.1.2 et les références citées).</w:t>
      </w:r>
    </w:p>
    <w:p>
      <w:r>
        <w:t>- 31 -</w:t>
      </w:r>
    </w:p>
    <w:p>
      <w:r>
        <w:rPr>
          <w:b/>
        </w:rPr>
        <w:t>E. 5.4</w:t>
      </w:r>
    </w:p>
    <w:p>
      <w:r>
        <w:t>Le tribunal a considéré qu’A. devait être reconnu coupable de dénonciation calomnieuse car il avait, avec conscience et volonté, mensongèrement mis en cause son collègue concernant les faits qui s’étaient déroulés le matin du 4 mars 2021, en tant qu’il avait déclaré que E. lui avait donné un coup de poing au visage, dans le but de justifier l’agression qui a suivi dans l’après-midi. La Cour de céans relève que l’appelant se contente d’opposer sa propre version des faits ainsi que sa propre lecture des éléments de preuve à celle retenue par le tribunal sans dire en quoi le droit aurait été violé. Il y a par conséquent lieu de se référer intégralement à ce qui a été dit plus haut s’agissant des faits qui sont survenus le matin du 4 mars 2021 (cf. consid. 4.3.2 supra). A l’instar du premier juge, la Cour de céans est ainsi convaincue que E. n’a pas donné un coup de poing à A. durant la matinée du 4 mars 2021 dans l’atelier de V.________. Au surplus, il ne peut être retenu – comme le soutient non sans se contredire A. au stade de l’appel – qu’il aurait reçu un coup de poing de la part de E. durant l’altercation survenue l’après-midi, dans la mesure où il n’a jamais soutenu une telle version des faits, que ce soit lors de ses auditions par la police, auprès du Ministère public ou devant le juge de première instance (PV Aud 2 p. 2 ; PV Aud 5 pp. 3 et 4 ; PV Aud 8, jgmt. pp. 6 à 8), version qui n’est du reste pas compatible avec son récit des événements. Partant, en déclarant, lors des auditions précitées, que E. lui avait donné un coup de poing lors de l’altercation survenue le 4 mars 2021 durant la matinée dans l’atelier de V.________ (PV Aud. 2 p. 2, PV aud. 5 p. 3, PV aud. 8, p. 3, jgmt, p. 7), A. a accusé celui-ci d’avoir commis des voies de fait, alors qu’il savait que l’intéressé était innocent, cela dans le but de tenter de justifier le comportement qu’il a eu à l’occasion de l’altercation survenue à [...] durant l’après-midi du 4 mars 2021. Ainsi, comme l’a retenu à juste titre le tribunal, il y a lieu de considérer qu’A. s’est ainsi rendu coupable de dénonciation calomnieuse au sens de l’art. 303 ch. 2 CP.</w:t>
      </w:r>
    </w:p>
    <w:p>
      <w:r>
        <w:t>- 32 - Le motif soulevé est par conséquent infondé.</w:t>
      </w:r>
    </w:p>
    <w:p>
      <w:r>
        <w:rPr>
          <w:b/>
        </w:rPr>
        <w:t>E. 6.1</w:t>
      </w:r>
    </w:p>
    <w:p>
      <w:r>
        <w:t>L’appelant reproche au premier juge de l’avoir reconnu coupable de lésions corporelles simples et de ne pas avoir condamné E. pour voies de fait. Il soutient qu’aucun élément objectif ne permettrait de retenir avec certitude qu’il aurait fracturé le 4e arc costal de E. lors de la bagarre survenue sur le parking de [...] et, qu’au contraire, les éléments de preuve démontreraient que le prénommé aurait initié la bagarre en l’agrippant.</w:t>
      </w:r>
    </w:p>
    <w:p>
      <w:r>
        <w:rPr>
          <w:b/>
        </w:rPr>
        <w:t>E. 6.2</w:t>
      </w:r>
    </w:p>
    <w:p>
      <w:r>
        <w:t>Aux termes de l’art. 123 ch. 1 CP, celui qui, intentionnellement, aura fait subir à une personne une autre atteinte à l’intégrité corporelle ou à la santé sera, sur plainte, puni d’une peine privative de liberté de trois ans au plus ou d’une peine pécuniaire. La réalisation de l'infraction de lésions corporelles simples suppose, outre l'existence d'une atteinte à l’intégrité corporelle, un lien de causalité naturelle et adéquate avec le comportement reproché au prévenu. Celui-ci doit de plus avoir agi intentionnellement. Le dol éventuel suffit (TF 6B_218/2019, déjà cité, consid. 1.2).</w:t>
      </w:r>
    </w:p>
    <w:p>
      <w:r>
        <w:rPr>
          <w:b/>
        </w:rPr>
        <w:t>E. 6.3</w:t>
      </w:r>
    </w:p>
    <w:p>
      <w:r>
        <w:t>Le premier juge a considéré qu’A. devait être reconnu coupable de lésions corporelles simples (art. 123 ch. 1 CP) pour avoir donné à E. des coups de poing dans les côtes et l’avoir frappé au niveau du nez, relevant que les lésions avaient induit un arrêt de travail d’une quinzaine de jours et, qu’en outre, au vu de leur intensité, elles dépassaient le stade jusqu’auquel elles pouvaient être considérées comme des voies de fait. L’appelant se contente, une nouvelle fois, de donner sa propre version des faits ainsi que sa propre lecture des éléments de preuve sans dire en quoi le droit aurait été violé. La Cour de céans renvoie à ce qui a été dit plus haut s’agissant de l’appréciation des faits et des moyens de</w:t>
      </w:r>
    </w:p>
    <w:p>
      <w:r>
        <w:t>- 33 - preuve en lien avec l’altercation survenue le 4 mars 2021 durant l’après- midi au parking du Boiron à [...] (cf. consid. 4.4.2 supra). Au surplus, à l’instar du premier juge, la Cour de céans considère qu’en assénant des coups de poing dans les côtes à E., qui se trouvait sur son motocycle, et en le faisant chuter au sol avec son motocycle, qui lui est tombé dessus, puis en tentant à plusieurs reprises d’enlever le casque de son antagoniste, sans succès, gestes lors desquels il lui a heurté à plusieurs reprises le nez de celui-ci avec le bas du casque, puis en essayant de lui donner un coup de poing au visage après avoir relevé la visière du casque, et, enfin, en lui assénant un dernier coup de poing dans les côtes, A. a, de manière intentionnelle, causé une fracture costale à E. ainsi qu’une tuméfaction au niveau de son nez. Partant, c’est à juste titre que le tribunal l’a reconnu coupable de lésions corporelles simples. Le motif soulevé par l’appelant est ainsi mal fondé.</w:t>
      </w:r>
    </w:p>
    <w:p>
      <w:r>
        <w:rPr>
          <w:b/>
        </w:rPr>
        <w:t>E. 7.1</w:t>
      </w:r>
    </w:p>
    <w:p>
      <w:r>
        <w:t>L’appelant se plaint d’une violation de l’art. 181 CP. Il fait valoir qu’il n’a jamais usé de contrainte à l’égard de E., lequel l’aurait suivi de son plein gré jusqu’au parking de [...], de sorte que l’infraction ne serait pas réalisée.</w:t>
      </w:r>
    </w:p>
    <w:p>
      <w:r>
        <w:rPr>
          <w:b/>
        </w:rPr>
        <w:t>E. 7.2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w:t>
      </w:r>
    </w:p>
    <w:p>
      <w:r>
        <w:t>- 34 -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 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w:t>
      </w:r>
    </w:p>
    <w:p>
      <w:r>
        <w:t>- 35 - adopter le comportement visé en étant conscient de l’illicéité de son comportement ; le dol éventuel suffit (ATF 120 IV 17 précité consid. 2c).</w:t>
      </w:r>
    </w:p>
    <w:p>
      <w:r>
        <w:rPr>
          <w:b/>
        </w:rPr>
        <w:t>E. 7.3</w:t>
      </w:r>
    </w:p>
    <w:p>
      <w:r>
        <w:t>Le tribunal a considéré qu’en immobilisant sa voiture sur la voie de circulation empruntée par E., dans le but de l’empêcher de poursuivre sa route et ainsi de l’obliger à s’arrêter, A. s’était rendu coupable de l’infraction de contrainte. L’appelant a admis lors de ses auditions ainsi qu’aux débats de première instance que E. n’avait pas souhaité avoir une discussion avec lui, lorsqu’il le lui avait demandé dans le parking de V.________, à la sortie du travail, et que, pour cette raison, il avait suivi son collègue en voiture lorsque celui-ci était parti en direction de […] sur son motocycle (PV Aud. 2 p. 2, PV Aud 5, p. 5, jugement p. 7). L’appelant a également admis qu’il était remonté jusqu’à la hauteur du motocycle de E. et qu’il s’était arrêté à côté de lui (PV Aud. 2 p. 2). Il a aussi reconnu qu’il avait finalement « doublé » celui-ci et s’était arrêté « devant lui » afin de lui dire qu’ils devaient parler (PV Aud 5, p. 3). E. a quant à lui été constant dans ses déclarations à la police et devant le premier juge, indiquant qu’il avait refusé de parler à son collègue à la sortie du travail, que ce dernier l’avait suivi avec son véhicule, était venu à sa hauteur et lui avait dit à nouveau qu’ils devaient parler et avait fini par le dépasser et lui barrer la route pour lui demander à nouveau de discuter (PV Aud. 1, p. 2, PV Aud. 7, p. 4, jugement p. 4). La Cour de céans considère qu’en agissant de la sorte, A. a, de manière illicite, entravé E. dans sa liberté d’action. Le moyen utilisé par l’appelant pour contraindre le plaignant à s’arrêter puis à le suivre est suffisamment intense pour retenir l’existence de la contrainte. En effet, en attendant le plaignant dans le parking, puis en le suivant en voiture, en le rattrapant pour venir jusqu’à sa hauteur et, finalement, en le dépassant pour bloquer la voie de circulation, A. a employé un moyen propre à impressionner E. qui, au vu de l’insistance de son collègue et du fait qu’il a semblé ne reculer devant rien pour parvenir à ses fins, a eu raison de sa résistance. Ce n’est qu’en raison du procédé employé par le prévenu que</w:t>
      </w:r>
    </w:p>
    <w:p>
      <w:r>
        <w:t>- 36 - E., qui était loin d’imaginer ce qui l’attendait, a finalement suivi A. jusqu’au parking du [...]. Par conséquent, c’est à juste titre que le tribunal a reconnu A. coupable de contrainte au sens de l’art. 181 CP. Le motif de l’appelant s’avère par conséquent mal fondé.</w:t>
      </w:r>
    </w:p>
    <w:p>
      <w:r>
        <w:rPr>
          <w:b/>
        </w:rPr>
        <w:t>E. 8.1</w:t>
      </w:r>
    </w:p>
    <w:p>
      <w:r>
        <w:t>L’appelant se plaint d’une violation du principe « in dubio pro reo », d’une violation des art. 90 LCR et 37 al. 2 LCR et d’une constatation inexacte des faits, en tant qu’aucun élément au dossier ne permettrait de retenir avec certitude qu’il a barré la route à E..</w:t>
      </w:r>
    </w:p>
    <w:p>
      <w:r>
        <w:rPr>
          <w:b/>
        </w:rPr>
        <w:t>E. 8.2</w:t>
      </w:r>
    </w:p>
    <w:p>
      <w:r>
        <w:t>Les principes relatifs à la présomption d’innocence et à l’appréciation des preuves ont déjà été rappelés ci-dessus, de sorte qu’il y est renvoyé (cf. 4.2 supra).</w:t>
      </w:r>
    </w:p>
    <w:p>
      <w:r>
        <w:rPr>
          <w:b/>
        </w:rPr>
        <w:t>E. 8.3</w:t>
      </w:r>
    </w:p>
    <w:p>
      <w:r>
        <w:t>En vertu de l’art. 90 al. 1 LCR (loi fédérale sur la circulation routière ; 741.01), celui qui viole les règles de la circulation prévues par la présente loi ou par les dispositions d’exécution émanant du Conseil fédéral est puni de l’amende. L’art. 37 al. 2 LCR prévoit que les véhicules ne seront arrêtés ni parqués aux endroits où ils pourraient gêner ou mettre en danger la circulation.</w:t>
      </w:r>
    </w:p>
    <w:p>
      <w:r>
        <w:rPr>
          <w:b/>
        </w:rPr>
        <w:t>E. 8.4</w:t>
      </w:r>
    </w:p>
    <w:p>
      <w:r>
        <w:t>Le Tribunal a considéré qu’A. s’était rendu coupable de violation simple des règles de la circulation routière (art. 90 al. 1 LCR), considérant qu’en stoppant son véhicule sur la chaussée, il avait mis en danger les autres usagers de la circulation (art. 37 al. 2 LCR). L’appelant se contente, une nouvelle fois, d’opposer sa propre version des faits à celle qui a été retenue par le premier juge. Tel que cela résulte de ce qui précède, même si A. conteste au stade de l’appel avoir commis une infraction à la loi sur la circulation routière, il a admis lors de ses auditions être remonté avec son véhicule automobile à la hauteur de</w:t>
      </w:r>
    </w:p>
    <w:p>
      <w:r>
        <w:t>- 37 - E. puis l’avoir dépassé pour bloquer la voie de circulation (cf. 7.3 supra). Cette version des faits correspond à celle qui a été relatée par E.. A l’instar du premier juge, la Cour de céans est ainsi convaincue qu’A. a arrêté son véhicule devant le motocycle de E. afin de lui bloquer le passage. Comme l’a retenu à juste titre le tribunal, l’infraction de violation simple des règles de la circulation routière est ainsi réalisée (art. 90 al. 1 LCR et 37 al. 2 LCR). Par conséquent, le moyen soulevé est infondé.</w:t>
      </w:r>
    </w:p>
    <w:p>
      <w:r>
        <w:rPr>
          <w:b/>
        </w:rPr>
        <w:t>E. 9.1</w:t>
      </w:r>
    </w:p>
    <w:p>
      <w:r>
        <w:t>L’appelant se plaint d’une violation du principe « in dubio pro reo » et des art. 15 et 144 CP. Il fait valoir qu’aucun élément au dossier ne permet de retenir qu’il a occasionné les dégâts au scooter. Il aurait repoussé E. lorsque celui-ci l’aurait agrippé et l’intéressé serait alors tombé sur son motocycle, sur le gazon. A. fait également valoir que les photographies produites par le plaignant ne sont pas datées et que les devis ont quant à eux été établis les 4 septembre 2021 et 18 novembre 2022, soit longtemps après la survenance des faits litigieux.</w:t>
      </w:r>
    </w:p>
    <w:p>
      <w:r>
        <w:rPr>
          <w:b/>
        </w:rPr>
        <w:t>E. 9.2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w:t>
      </w:r>
    </w:p>
    <w:p>
      <w:r>
        <w:t>- 38 - à-dire à neutraliser l’adversaire selon le principe que la meilleure défense est l’attaque (ATF 93 IV 81 ; TF 6B_508/2021 du 14 janvier 2022 consid. 1.4.1 ; TF 6B_903/2020 du 10 mars 2021 consid. 4.2). Selon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9.3</w:t>
      </w:r>
    </w:p>
    <w:p>
      <w:r>
        <w:t>Le premier juge a retenu qu’en frappant E., A. avait fait tomber son scooter au sol et qu’il avait ensuite donné un coup de pied dans le motocycle afin de dégager l’intéressé et être en mesure de le frapper à nouveau. Le tribunal s’est fondé sur les déclarations constantes de E. ainsi que sur les photographies du scooter endommagé et les devis produits et a considéré que le lien de causalité était établi, les rayures visibles sur les photographies, en particulier celles au niveau du carénage, du rétroviseur ou de la béquille, étant compatibles avec la version du plaignant. Le tribunal a ainsi considéré que l’infraction de dommages à la propriété était réalisée, au moins au stade du dol éventuel. La Cour de céans renvoie à ce qui a été dit plus haut s’agissant de l’appréciation des faits et des moyens de preuve en lien avec l’altercation survenue le 4 mars 2021 durant l’après-midi au parking du [...] à [...] (cf. consid. 4.4.2 surpra). Il n’y a pas lieu de retenir qu’A. aurait été attaqué par E.. L’appelant n’a ainsi pas agi en situation de légitime défense lorsqu’il a, comme il l’a admis, poussé E. (PV Aud. 2, p. 2 ; PV Aud. 5, pp. 3 et 4) et fait basculer et tomber le motocycle par terre. Comme l’a retenu à juste titre le premier juge, il est établi que les dégâts constatés sur le motocycle ont été occasionnés lors de l’altercation. Les rayures sont en effet compatibles avec une chute de l’engin sur le chemin de campagne caillouteux où a eu lieu l’altercation (P. 36). Au demeurant, le plaignant a produit aux débats d’appel une nouvelle version des photographies, qui contient la date (P. 49), à savoir celle du 5 mars 2021, qui correspond au lendemain de l’altercation.</w:t>
      </w:r>
    </w:p>
    <w:p>
      <w:r>
        <w:t>- 39 - C’est dès lors à juste titre que le premier juge a reconnu A. coupable de dommages à la propriété au sens de l’art. 144 al. 1 CP. Le motif soulevé par l’appelant est ainsi mal fondé.</w:t>
      </w:r>
    </w:p>
    <w:p>
      <w:r>
        <w:rPr>
          <w:b/>
        </w:rPr>
        <w:t>E. 10.1</w:t>
      </w:r>
    </w:p>
    <w:p>
      <w:r>
        <w:t>L’appelant reproche au tribunal d’avoir alloué à E. 3’000 fr. à titre de réparation du tort moral. Il fait valoir que cette somme n’est pas due car le tribunal a constaté les faits de manière inexacte, les conséquences de la bagarre étant imputable au plaignant. Toujours en lien avec l’allocation de la somme de 3'000 fr., A. invoque que « l’incapacité de travail ainsi que les séances de physiothérapie respiratoire ne [seraient] pas une conséquence directe [de ses] actions ». Il fait également grief au premier juge d’avoir alloué « 1'714 fr. 65 de frais de scooter » et soutient ne pas avoir été à l’origine des éventuels dégâts causés au scooter. La méthode de calcul « pour retenir les dégâts présumés [serait] infondée » en tant que le tribunal s’est basé sur deux devis établis longtemps après les faits.</w:t>
      </w:r>
    </w:p>
    <w:p>
      <w:r>
        <w:rPr>
          <w:b/>
        </w:rPr>
        <w:t>E. 10.2.1</w:t>
      </w:r>
    </w:p>
    <w:p>
      <w:r>
        <w:t>D’après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 CO (Code des obligations du 30 mars 1911 ; RS 220) (TF 6B_1157/2020 du 8 septembre 2021 consid. 2.1). La partie plaignante peut ainsi réclamer la réparation de son dommage (art. 41 à 46 CO) et l'indemnisation de son tort moral (art. 47 et 49 CO), dans la mesure où ceux-ci découlent</w:t>
      </w:r>
    </w:p>
    <w:p>
      <w:r>
        <w:t>- 40 - directement de la commission de l'infraction reprochée au prévenu (cf. ATF 143 IV 495 consid. 2.2.4 p. 499 ; TF 6B_11/2017 du 29 août 2017 consid. 1.2 ; TF 6B_267/2016, TF 6B_268/2016 et TF 6B_269/2016 du 15 février 2017 consid. 6.1 ; TF 6B_486/2015 du 25 mai 2016 consid. 5.1).</w:t>
      </w:r>
    </w:p>
    <w:p>
      <w:r>
        <w:rPr>
          <w:b/>
        </w:rPr>
        <w:t>E. 10.2.2</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141 III 97 consid. 11.2 ; ATF 130 III 699 consid. 5.1 ; TF 6B_693/2020 du 18 janvier 2021 consid. 8.1).</w:t>
      </w:r>
    </w:p>
    <w:p>
      <w:r>
        <w:rPr>
          <w:b/>
        </w:rPr>
        <w:t>E. 10.3</w:t>
      </w:r>
    </w:p>
    <w:p>
      <w:r>
        <w:t>L’appelant opère une confusion entre le tort moral et le préjudice matériel. Quoiqu’il en soit, la Cour de céans comprend qu’il demande à être libéré du paiement des sommes de 3'000 fr. et de 1'714 fr. 65 dont il a été reconnu débiteur à l'égard du plaignant, en tant que conséquence de l'acquittement des chefs de lésions corporelles simples et de dommages à la propriété, qu'il n'obtient pas. Il n'y a donc pas lieu de s'y attarder. Au demeurant, il est relevé, s’agissant du montant alloué au titre de réparation du préjudice matériel, que cette somme est justifiée, en tant qu'elle se rapporte à des postes de dommages établis par pièces, dont il faut admettre qu'ils sont en lien avec les infractions imputées à</w:t>
      </w:r>
    </w:p>
    <w:p>
      <w:r>
        <w:t>- 41 - l'appelant. Il s'agit en l'occurrence des frais de réparation du scooter (1'714 fr. 65) et des frais liés à la psychothérapie non remboursés par la LAVI (300 fr.). En ce qui concerne le montant de 3'000 fr. alloué par le premier juge à titre de réparation du tort moral subi, il n’y a pas lieu de le revoir. En effet, ce montant n’est pas excessif au vu des blessures, souffrances et de la crainte endurée par le plaignant, de sorte qu’il doit être confirmé.</w:t>
      </w:r>
    </w:p>
    <w:p>
      <w:r>
        <w:rPr>
          <w:b/>
        </w:rPr>
        <w:t>E. 11.1</w:t>
      </w:r>
    </w:p>
    <w:p>
      <w:r>
        <w:t>La peine pécuniaire prononcée à l’encontre d’A., assortie d’un sursis de deux ans, n’est pas discutée.</w:t>
      </w:r>
    </w:p>
    <w:p>
      <w:r>
        <w:rPr>
          <w:b/>
        </w:rPr>
        <w:t>E. 11.2</w:t>
      </w:r>
    </w:p>
    <w:p>
      <w:r>
        <w:t>Vérifiée d’office, la peine pécuniaire de 180 jours-amende à 30 fr. prononcée apparaît adéquate et doit être confirmée par adoption de motifs (art. 82 al. 4 CPP ; jugement, p. 28).</w:t>
      </w:r>
    </w:p>
    <w:p>
      <w:r>
        <w:rPr>
          <w:b/>
        </w:rPr>
        <w:t>E. 12</w:t>
      </w:r>
    </w:p>
    <w:p>
      <w:r>
        <w:t>juillet 2023 consid. 1.3.2 ; ATF 135 IV 188 consid. 3.4.4) – et, d’autre part, pour sanctionner la violation simple des règles de la circulation routière. L’amende est, à ce titre également, justifiée (cf. consid. 5.5.4 ci- dessus ; 37 LCR et Annexe 1 OAO [ordonnance sur les amendes d’ordre ; RS 314.11]). Le motif soulevé par l’appelant s’avère ainsi infondé.</w:t>
      </w:r>
    </w:p>
    <w:p>
      <w:r>
        <w:t>- 42 -</w:t>
      </w:r>
    </w:p>
    <w:p>
      <w:r>
        <w:rPr>
          <w:b/>
        </w:rPr>
        <w:t>E. 12.1</w:t>
      </w:r>
    </w:p>
    <w:p>
      <w:r>
        <w:t>L’appelant conteste, sous l’intitulé « prétentions civiles », l’amende de 1'000 fr. à laquelle il a été condamné au motif qu’il n’aurait pas commis d’infraction à la LCR.</w:t>
      </w:r>
    </w:p>
    <w:p>
      <w:r>
        <w:rPr>
          <w:b/>
        </w:rPr>
        <w:t>E. 12.2</w:t>
      </w:r>
    </w:p>
    <w:p>
      <w:r>
        <w:t>L’amende de 1'000 fr. doit être confirmée, étant relevé qu’elle a été prononcée, d’une part, à titre de sanction immédiate – sa quotité étant à cet égard adéquate dans la mesure où elle n’excède pas les 20% de la peine principale (art. 42 al. 4 CP et art. 106 CP ; TF 6B_337/2022 du</w:t>
      </w:r>
    </w:p>
    <w:p>
      <w:r>
        <w:rPr>
          <w:b/>
        </w:rPr>
        <w:t>E. 13.1</w:t>
      </w:r>
    </w:p>
    <w:p>
      <w:r>
        <w:t>Enfin, l’appelant conteste la mise des frais de procédure de première instance à sa charge dans la mesure où il plaide son acquittement. Sa condamnation étant confirmée, ce grief est infondé.</w:t>
      </w:r>
    </w:p>
    <w:p>
      <w:r>
        <w:rPr>
          <w:b/>
        </w:rPr>
        <w:t>E. 14</w:t>
      </w:r>
    </w:p>
    <w:p>
      <w:r>
        <w:t>Au vu de ce qui précède, l'appel d’A. doit être intégralement rejeté et le jugement entrepris confirmé. Me Patricia Michellod, défenseur d’office d’A., a produit une liste d’opérations faisant état d’une activité de 24 heures et 55 minutes facturée au tarif horaire de 180 fr. pour les opérations effectuées par les avocats brevetés et au tarif horaire de 110 fr. pour l’avocat-stagiaire. C’est excessif. En effet, Me Michellod assistait déjà le prévenu devant l’autorité de première instance et, pour une grande partie, celui-ci a fait valoir en appel les mêmes arguments ressortissant à l’établissement des faits que ceux déjà déployés devant les premiers juges. Dans ces conditions, il y a lieu de considérer que, dans le cas particulier, une activité de 17 heures pour l’avocat-stagiaire et d’une heure pour Me Patricia Michellod était suffisante pour permettre au défenseur d’office d’accomplir sa tâche de façon raisonnable (prise de connaissance du dossier par l’avocat-stagiaire [1h30], rédaction de l’annonce d’appel [10 minutes], rédaction de la déclaration d’appel [10 heures], entretiens avec le client [3 heures], préparation de l’audience [2 heures], audience d’appel [1 heure et 20 minutes]). L’indemnité pour la procédure d’appel s’élève ainsi à 2'339 fr., correspondant à 17 heures à 110 fr. (pour l’avocat stagiaire) et 1 heure à 180 fr. (pour Me Michellod), 41 fr. de débours, une vacation à 80 fr., plus la TVA, par 168 francs. E., qui a procédé avec le concours d’un conseil de choix et qui obtient gain de cause dès lors qu’il a conclu au rejet de l’appel d’A., a droit à une indemnité pour l'exercice raisonnable de ses droits de procédure en appel (art. 433 al. 1 let. a CPP, applicable par renvoi de l’art. 436 al. 1 CPP).</w:t>
      </w:r>
    </w:p>
    <w:p>
      <w:r>
        <w:t>- 43 - Le conseil de choix de E. a produit une liste d’opérations faisant état d’une activité de 10 heures et 55 minutes (qui inclut une vacation d’une heure) dont il n’y a pas lieu de s’écarter, sinon pour tenir compte du temps effectif d’audience (1 heures et 20 minutes). En outre, s’agissant d’une cause qui relevait de la compétence du Tribunal de police, pour une affaire simple en fait et en droit, il convient d’appliquer un tarif horaire d’avocat breveté de 250 fr., et non de 350 fr. comme requis (art. 26a TFIP [Tarif des frais de procédure et indemnités en matière pénale ; BLV 312.03.1]). Le montant de l’indemnité doit ainsi être arrêté sur la base d’une durée d’activité utile du défenseur de 9 heures et 15 minutes, au tarif horaire de 250 fr., plus 46 fr. 30 de débours, plus la TVA par 181 fr. 70, ce qui représente un montant total de 2'541 francs. Compte tenu de l’issue de la cause, les frais de la procédure d’appel, par 6'449 fr., constitués de l’émolument de jugement et d’audience, par 4’110 fr. (art. 21 al. 1 et 2 TFIP [tarif des frais de procédure et indemnités en matière pénale du 28 septembre 2010 ; BLV 312.03.1]), et de l’indemnité due défenseur d’office, par 2'339 fr., seront mis à la charge d’A., qui succombe (art. 428 al. 1 CPP). Il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