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PE21.010479 vom 6. September 2021</w:t>
      </w:r>
    </w:p>
    <w:p>
      <w:r>
        <w:t>VD Tribunal cantonal, 2021-09-06, FR</w:t>
      </w:r>
    </w:p>
    <w:p>
      <w:r>
        <w:rPr>
          <w:b/>
        </w:rPr>
        <w:t xml:space="preserve">Quelle: </w:t>
      </w:r>
      <w:r>
        <w:t>https://mcp.opencaselaw.ch/entscheid/vd_gerichte_PE21.010479</w:t>
      </w:r>
    </w:p>
    <w:p>
      <w:r>
        <w:t>FR: VD_GERICHTE PE21.010479 du 6 septembre 2021</w:t>
      </w:r>
    </w:p>
    <w:p>
      <w:r>
        <w:t>IT: VD_GERICHTE PE21.010479 del 6 settembre 2021</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w:t>
      </w:r>
    </w:p>
    <w:p>
      <w:r>
        <w:t>- 6 -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- 7 -</w:t>
      </w:r>
    </w:p>
    <w:p>
      <w:r>
        <w:rPr>
          <w:b/>
        </w:rPr>
        <w:t>E. 3</w:t>
      </w:r>
    </w:p>
    <w:p>
      <w:r>
        <w:t>novembre 2020 consid. 6.1). Du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 TF 6B_556/2020 précité consid. 6.1).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 TF 6B_556/2020 précité consid. 6.1) ou encore s'il était en droit de compenser (ATF 105 IV 29 consid. 3a). Dans le contexte de l’art. 138 ch. 1 al. 2 CP, la notion de valeurs patrimoniales se rapporte aux choses fongibles ou aux choses déterminées devenues propriété de l’auteur par mélange, de par la loi ou par contrat (de fiducie en particulier), ainsi qu’aux valeurs incorporelles que représentent les créances pécuniaires en général (Dupuis et al. [éd.], Petit commentaire, Code pénal, 2e éd., Bâle 2017, n. 26 ad art. 138 CP). Les immeubles ne sont pas des valeurs patrimoniales au sens de cette disposition (De Preux/Hulliger, in : Macaluso/Moreillon/Queloz [éd.], Commentaire romand, Code pénal II, Bâle 2017, n. 31 ad art. 138 CP ; Corboz, Les infractions en droit suisse, vol. I, 3e éd., Berne 2010, n. 18 ad art. 138 CP ; Niggli/Riedo, in : Niggli/Wiprächtiger [éd.], Basler Kommentar, Strafrecht II, 4e éd., Bâle 2018, n. 30 ad art. 138 CP ; Donatsch, Strafrecht III, 11e éd., Zurich 2018, pp. 141-142).</w:t>
      </w:r>
    </w:p>
    <w:p>
      <w:r>
        <w:t>- 9 -</w:t>
      </w:r>
    </w:p>
    <w:p>
      <w:r>
        <w:rPr>
          <w:b/>
        </w:rPr>
        <w:t>E. 3.1</w:t>
      </w:r>
    </w:p>
    <w:p>
      <w:r>
        <w:t>Invoquant une violation de l’art. 310 CPP et du principe « in dubio pro duriore », le recourant soutient que les conditions de l’art. 138 ch. 1 al. 2 CP seraient réunies. Il fait valoir que la titularité de la propriété foncière des terrains et de l’hôtel S.________ aurait été conférée à titre fiduciaire à A.D.________, à charge pour elle d’agir conformément aux instructions de son défunt époux et du plaignant. Il aurait toujours été convenu qu’elle ne pourrait pas en disposer librement. Ces immeubles appartiendraient économiquement au plaignant et à la succession d’B.D.________ par moitié chacun et constitueraient des valeurs patrimoniales confiées au sens de l’art. 138 ch. 1 al. 2 CP. Or, en violation du contrat de fiducie qui les lierait, A.D.________ refuserait de suivre les instructions du plaignant. Elle le priverait, de même que la succession de feu B.D.________, de la part qui leur reviendrait sur l’hôtel et les terrains litigieux.</w:t>
      </w:r>
    </w:p>
    <w:p>
      <w:r>
        <w:rPr>
          <w:b/>
        </w:rPr>
        <w:t>E. 3.2</w:t>
      </w:r>
    </w:p>
    <w:p>
      <w:r>
        <w:t>Commet un abus de confiance au sens de l'art. 138 ch. 1 al. 2 CP, celui qui, sans droit, aura employé à son profit ou au profit d'un tiers des valeurs patrimoniales qui lui avaient été confiées. Sur le plan objectif, l'infraction à l'art. 138 ch. 1 al. 2 CP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w:t>
      </w:r>
    </w:p>
    <w:p>
      <w:r>
        <w:t>- 8 - 129 IV 257 consid. 2.2.1 ; ATF 121 IV 23 consid. 1c ; TF 6B_556/2020 du</w:t>
      </w:r>
    </w:p>
    <w:p>
      <w:r>
        <w:rPr>
          <w:b/>
        </w:rPr>
        <w:t>E. 3.3</w:t>
      </w:r>
    </w:p>
    <w:p>
      <w:r>
        <w:t>En l’espèce, il faut relever en premier lieu que si une relation de fiducie entre le plaignant et A.D.________ semble probable, notamment au vu du projet de contrat produit sous pièce 5/13 (« A.D.________ [representing B.D.________ and W.________] ») et de la correspondance y relative sous pièce 5/14, elle n’est pas démontrée pour autant faute de contrat écrit entre l’intéressée et le plaignant. Quoi qu’il en soit, le plaignant reproche à A.D.________ de disposer de terrains qui lui auraient été remis à titre fiduciaire contrairement à ses instructions. Or, comme indiqué au considérant qui précède, un immeuble ne saurait être considéré comme une valeur patrimoniale au sens de l’art. 138 ch. 1 al. 2 CP. Dans sa plainte, le recourant s’est référé à l’ATF 144 IV 1 pour soutenir le contraire. La Chambre de céans ne partage toutefois pas la même lecture de cet arrêt qui porte sur une procédure de confiscation indépendante. Dans ses considérants, le Tribunal fédéral précise en effet qu’une mesure de confiscation au sens de l'art. 70 al. 1 CP peut également viser des revenus immobiliers futurs ; il n’affirme nullement qu’un immeuble doit être considéré comme une valeur patrimoniale au sens de l’art. 138 ch. 1 al. 2 CP contrairement à l’avis de la doctrine précitée. Quant à l’application de l’art. 138 ch. 1 al. 1 CP, elle est exclue dès lors que cette disposition porte expressément sur des choses mobilières. Par surabondance, force est de constater qu’en sa qualité d’héritière et vraisemblablement de représentante de la succession de son époux, A.D.________ est en droit, en l’état, de refuser de vendre les terrains et le complexe hôtelier. Le recourant ne saurait décider seul du sort de ces immeubles. La question de leur propriété et partant celle de la liquidation de la société simple formée par le plaignant et B.D.________ relèvent de la compétence de la justice civile. On ne distingue aucun indice de la commission d’une infraction pénale. En définitive, l’appréciation du Ministère public ne prête pas le flanc à la critique et doit être confirmée.</w:t>
      </w:r>
    </w:p>
    <w:p>
      <w:r>
        <w:t>- 10 -</w:t>
      </w:r>
    </w:p>
    <w:p>
      <w:r>
        <w:rPr>
          <w:b/>
        </w:rPr>
        <w:t>E. 4</w:t>
      </w:r>
    </w:p>
    <w:p>
      <w:r>
        <w:t>Le recours, manifestement mal fondé, doit ainsi être rejeté sans échange d’écritures (art. 390 al. 2 CPP) et l’ordonnance attaquée confirmée. Les frais de la procédure de recours, constitués en l’espèce du seul émolument d’arrêt, par 990 fr. (art. 20 al. 1 TFIP [Tarif des frais de procédure et indemnités en matière pénale du 28 septembre 2010 ; BLV 312.03.1]), seront mis à la charge du recourant, qui succombe (art. 428 al. 1 CPP). Vu le sort du recours, aucune indemnité ne sera allouée au recourant pour les dépenses occasionnées par la procédure. Par ces motifs, la Chambre des recours pénale prononce : I. Le recours est rejeté. II. L’ordonnance du 28 juillet 2021 est confirmée. III. Les frais d’arrêt, par 990 fr. (neuf cent nonante francs), sont mis à la charge d’W.________. IV. L’arrêt est exécutoire. Le président : La greffière :</w:t>
      </w:r>
    </w:p>
    <w:p>
      <w:r>
        <w:t>- 11 - Du Le présent arrêt, dont la rédaction a été approuvée à huis clos, est notifié, par l'envoi d'une copie complète, à : - Me Jean-Cédric Michel, avocat (pour W.________), - Mme A.D.________, - Ministère public central,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