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PE21.010471 vom 16. Mai 2022</w:t>
      </w:r>
    </w:p>
    <w:p>
      <w:r>
        <w:t>VD Tribunal cantonal, 2022-05-16, FR</w:t>
      </w:r>
    </w:p>
    <w:p>
      <w:r>
        <w:rPr>
          <w:b/>
        </w:rPr>
        <w:t xml:space="preserve">Quelle: </w:t>
      </w:r>
      <w:r>
        <w:t>https://mcp.opencaselaw.ch/entscheid/vd_gerichte_PE21.010471</w:t>
      </w:r>
    </w:p>
    <w:p>
      <w:r>
        <w:t>FR: VD_GERICHTE PE21.010471 du 16 mai 2022</w:t>
      </w:r>
    </w:p>
    <w:p>
      <w:r>
        <w:t>IT: VD_GERICHTE PE21.010471 del 16 maggio 2022</w:t>
      </w:r>
    </w:p>
    <w:p>
      <w:pPr>
        <w:pStyle w:val="Heading2"/>
      </w:pPr>
      <w:r>
        <w:t>Erwägungen</w:t>
      </w:r>
    </w:p>
    <w:p>
      <w:r>
        <w:rPr>
          <w:b/>
        </w:rPr>
        <w:t>E. 5</w:t>
      </w:r>
    </w:p>
    <w:p>
      <w:r>
        <w:t>% l’an dès le 13 juin 2021 à titre de réparation du tort moral (V), a mis les frais de la cause arrêtés à 29’510 fr. à la charge de P.________ et a dit que ces frais comprenaient l’indemnité due à Me Dorothée Raynaud, conseil d’office de N.________, arrêtée à 9’066 fr. 20, TVA et débours compris (VI), a dit que le remboursement à l’Etat de l’indemnité du conseil d’office ne sera exigée que si la situation du condamné le permet (VII), et a rejeté l’indemnité au titre de l’art. 429 CPP requise par P.________ (VIII). B. Par annonce du 17 mai 2022, puis déclaration motivée du 21 juin 2022, P.________ a interjeté appel contre ce jugement, en concluant, avec suite de frais et dépens, principalement à sa modification en ce sens qu’il soit libéré des chefs d’inculpation de viol et de conduite malgré une incapacité, qu’il soit constaté qu’il a été détenu dans des conditions illicites durant onze jours, que le sursis accordé le 16 avril 2020 par le Ministère public du canton du Valais ne soit pas révoqué, qu’il soit renoncé à son expulsion du territoire suisse, que les conclusions civiles de N.________ soient rejetées, que les frais de justice, comprenant l’indemnité due à Me Dorothée Reynaud sont laissés à la charge de l’Etat, qu’une</w:t>
      </w:r>
    </w:p>
    <w:p>
      <w:r>
        <w:t>- 13 - indemnité de l’art. 429 al. 1 let. a CPP d’un montant de 54’450 fr. et une indemnité de l’art. 429 al. 1 let. c CPP d’un montant de 21’300 fr. avec intérêts à 5% l’an dès le 13 juin 2021 lui sont allouées. Subsidiairement, il a conclu à l’annulation du jugement et au renvoi de la cause à un « Tribunal d’arrondissement extérieur à l’Est vaudois ». Le 29 juin 2022, le Ministère public a indiqué qu’il n’entendait pas présenter de demande de non-entrée en matière, ni déclarer d’appel joint. Par déclaration du 18 juillet 2022, N.________ a formé un appel joint, concluant principalement, à la modification du chiffre V du dispositif du jugement en ce sens qu’il lui soit alloué la somme de 9’000 fr. avec intérêts à 5% l’an dès le 13 juin 2021 à titre d’indemnité pour tort moral et à ce que les points I, II, III, IV, VI, VII et VIII du dispositif du jugement rendu le 16 mai 2022 par le Tribunal d’arrondissement de l’Est vaudois restent inchangés. Subsidiairement, elle a conclu à ce que la demande de non- entrée en matière sur l’appel motivé du 21 juin 2022 de P.________ soit admise et à ce que le dispositif du jugement rendu le 16 mai 2022 par le Tribunal d’arrondissement de l’Est vaudois soit confirmé. Par acte du 15 août 2022, P.________ a demandé que l’appel joint déposé par N.________ soit déclaré irrecevable. Il s’est également déterminé sur l’écriture de la plaignante. Par avis du 28 septembre 2022, le Président de la Cour de céans a informé P.________ que ses réquisitions de preuve étaient rejetées, au motif que les conditions de l’art. 389 CPP n’étaient pas remplies (P. 84). C. Les faits retenus sont les suivants : 1. P.________, célibataire, est né le [...]. Ressortissant [...], il est domicilié à [...] à [...] [...]. Il est déménageur et son salaire s’élève à 5'800 fr. brut par mois. Il est au bénéfice d’un permis annuel de séjour B.</w:t>
      </w:r>
    </w:p>
    <w:p>
      <w:r>
        <w:t>- 14 - L’extrait du casier judiciaire suisse de P.________ fait état des condamnations suivantes : - 16.04.2020 : Ministère public du canton du Valais, Office régional du Valais central Sion pour violation des règles de la circulation routière (art. 90 al. 1 LCR) le 07.03.2020, conducteur se trouvant dans l’incapacité de conduire (véhicule automobile, taux d’alcool qualifié dans le sang ou dans l’haleine (art. 91 al. 2 let. a LCR) le 07.03.2020, peine pécuniaire 26 jours-amende à 60 fr., sursis à l’exécution de la peine, délai d’épreuve 2 ans, amende 500 francs ; - 07.07.2021 : Ministère public du canton du Valais, Office régional du Valais central Sion pour lésions corporelles simples (art. 123 ch. 1 CP) le 30.10.2020, peine pécuniaire 30 jours- amende à 30 fr, sursis à l’exécution de la peine, délai d’épreuve 2 ans, amende 200 francs. Le casier judiciaire [...] de P.________ comporte quatre inscriptions : - 29.06.2012, Tribunal correctionnel de [...], violence par une personne en état d’ivresse manifeste sans incapacité, rébellion, peine privative de liberté de 4 mois, avec sursis ; - 11.04.2013, Tribunal correctionnel de [...], violence avec usage ou menace d’une arme sans incapacité, peine privative de liberté de 2 mois, avec sursis ; - 26.10.2014, Registro Central de penados – autorité centrale – [...], conduite sous l’influence de boissons alcoolisées, de drogue ou de psychotropes, jours-amende, 8 mois ; - 10.10.2019, Tribunal correctionnel de [...], violence sans incapacité par une personne étant ou ayant été conjoint, concubin ou partenaire lié à la victime par un pacte civil de solidarité et violence sans incapacité sur un mineur de 15 ans par un ascendant ou une personne ayant autorité sur la victime, peine privative de liberté de 6 mois avec sursis.</w:t>
      </w:r>
    </w:p>
    <w:p>
      <w:r>
        <w:t>- 15 - 2. 2.1 A [...], dans l’enceinte de l’enseigne « [...] », sise dans la zone [...] de [...], le 13 juin 2021, vers 20 h 00, – lorsqu’ils rangeaient tous deux des chaises dans un dépôt du commerce après une fête de départ d’un collaborateur – P.________ a soudainement poussé puis plaqué N.________, de face, contre des cartons, l’a ensuite saisie au niveau des mains et des bras et lui a baissé son vêtement (short) ainsi que son sous-vêtement (culotte) jusqu’aux chevilles, alors qu’elle tentait de le repousser avec son corps et lui signifiait son refus, avant de la contraindre à une pénétration vaginale (non protégée) en la maintenant au niveau des épaules notamment à l’aide du poids de son corps. Les lésions suivantes ont été constatées sur N.________ le 13 juin 2021 à 23 h 00 (P. 21) : - ecchymoses au niveau des membres supérieurs ; - lésions gynécologiques (érosions para clitoridiennes rouges infracentimétriques bilatérales et minime érosion rouge de taille millimétrique au niveau de la fourchette vulvaire postérieure). N.________ a déposé plainte le 14 juin 2021 et s’est constituée partie civile. 2.2 Le 13 juin 2021, peu avant 12 h 00, pour se rendre du camping [...], sis [...] à [...], au « [...] », sis dans la zone [...] de [...], P.________ a conduit son véhicule [...] immatriculé [...] alors qu’il était sous l’influence de cocaïne (cocaïne consommée dans la nuit du 12 juin 2021 ; taux de 36 μg/l le 13 juin 2021). En quittant ensuite l’enseigne le « [...] » sise [...] à [...], vers 20 h 15, le 13 juin 2021, pour retourner au camping [...] sis [...] à [...], P.________ a conduit son véhicule [...] immatriculé [...] alors qu’il était sous l’influence de l’alcool (1.49 g/kg) et de cocaïne (cocaïne ; 36 μg/l). 2.3 À [...] et [...] notamment, du mois de novembre 2019 (arrivée en Suisse de P.________) au 12 juin 2021, à tout le moins, P.________ a consommé occasionnellement de la cocaïne. En d roit :</w:t>
      </w:r>
    </w:p>
    <w:p>
      <w:r>
        <w:t>- 16 - 1. 1.1 Interjeté dans les formes et délais légaux (art. 399 CPP) par une partie ayant qualité pour recourir contre le jugement d’un tribunal de première instance qui a clos la procédure (art. 398 al. 1 CPP), l’appel de P.________ est recevable. 1.2 Il convient d’examiner en premier lieu la recevabilité de l’appel interjeté par la plaignante. Conformément à l’art. 123 al. 2 CPP, le calcul et la motivation des conclusions civiles doivent être présentés au plus tard durant les plaidoiries de première instance (TF 6B_259/2016 du 21 mars 2017 consid. 4.1 ; TF 6B/2014 du 21 juillet 2014 consid. 2.2). Ainsi, dès lors que N.________ a obtenu l’entier de ses conclusions civiles en première instance, celle-ci ne peut pas les augmenter en deuxième instance. A tout le moins, le motif invoqué par la plaignante, soit le traumatisme engendré par la prise de connaissance de l’appel, ne constitue pas un fait nouveau suffisant pour modifier le montant du tort moral. En effet, les conclusions civiles se déduisent de l’infraction (art. 122 al. 1 CPP) et non d’une attitude d’une partie en procédure. Les conclusions nouvelles et, partant, l’appel joint déposé par N.________ sont irrecevables.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w:t>
      </w:r>
    </w:p>
    <w:p>
      <w:r>
        <w:t>- 17 - administration des preuves. L’appel tend à la répétition de l’examen des faits et au prononcé d’un nouveau jugement (TF 6B_238/2020 du 14 décembre 2020 consid. 3.2 ; TF 6B_481/2020 du 17 juillet 2020 consid. 1.2 ; TF 6B_952/2019 du 11 décembre 2019 consid. 2.1). 3. P.________ requiert, à titre de mesures d’instruction, la mise en œuvre d’une inspection locale, la production des enregistrements de toutes les caméras vidéo de l’enseigne « [...] » du 13 juin 2021 ainsi que la ré-audition du témoin L.________. 3.1 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précité consid. 3.2 ;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6B_1331/2020 du 18 janvier 2021 consid.</w:t>
      </w:r>
    </w:p>
    <w:p>
      <w:r>
        <w:t>- 18 - 1.1 ; TF 6B_818/2020 du 18 janvier 2021 consid. 2.1 ; TF 6B_197/2020 du</w:t>
      </w:r>
    </w:p>
    <w:p>
      <w:r>
        <w:rPr>
          <w:b/>
        </w:rPr>
        <w:t>E. 5.1</w:t>
      </w:r>
    </w:p>
    <w:p>
      <w:r>
        <w:t>Dans un chapitre intitulé « critique du jugement point par point », l’appelant développe des griefs qui consistent pour l’essentiel à plaider sa version, soit pour faire valoir qu’il serait totalement crédible et que la plaignante ne le serait pas du tout. Il conteste que la plaignante ait pu être dans un état de sidération ou avoir été victime d’une amnésie post-traumatique.</w:t>
      </w:r>
    </w:p>
    <w:p>
      <w:r>
        <w:t>- 20 -</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w:t>
      </w:r>
    </w:p>
    <w:p>
      <w:r>
        <w:t>- 21 -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5.3</w:t>
      </w:r>
    </w:p>
    <w:p>
      <w:r>
        <w:t>En l’espèce, l’appréciation des preuves opérée par les premiers juges est claire, complète et convaincante (cf. Jugement, pp. 26 à 29) et la Cour de céans la fait sienne. La matérialité de faits n’est pas contestée et le seul point litigieux porte sur le consentement à l’acte sexuel par la plaignante. Comme l’ont relevé les premiers juges de nombreux éléments démontrent l’absence de ce consentement. Elle repose d’abord sur les premières déclarations de la plaignante qui a d’emblée indiqué avoir été abusée par le prévenu et a donné des détails factuels qui coïncident avec les déclarations de celui-ci sur le lieu et la position des parties durant les faits litigieux. Le fait que la plaignante ait souffert d’une amnésie à la suite de ses déclarations ne décrédibilise pas la plaignante, au contraire. C’est précisément le fait que les relations sexuelles aient engendré un traumatisme qui peut expliquer cette amnésie. En outre, plusieurs témoins ont attesté de l’état de choc de la victime après les faits et cela corrobore bien l’hypothèse selon laquelle l’acte sexuel était un viol traumatisant. Encore et surtout, les constatations médico-légales confirment que les relations sexuelles n’étaient pas consenties. Il en va ainsi de l’existence d’hématomes sur les membres supérieurs de la plaignante et de lésions gynécologiques qui démontrent que la pénétration était forcée (P. 21, pp. 4-6). A cet égard, les déclarations de la plaignante lors de son audition devant la police le 14 juin 2021 viennent compléter le rapport d’expertise (PV aud. 1). En effet, celle-ci a déclaré : « Je dois vous dire aussi que j’ai des hématomes au bras gauche, à l’avant-bras droit » (PV aud. 1, p. 4, R. 7). En outre, les allégations de l’appelant concernant une prétendue lubrification des parties génitales de la plaignante (cf. PV aud. 2, p. 8, R.12, « elle était mouillée ») sont contredites par les lésions observées dans le rapport</w:t>
      </w:r>
    </w:p>
    <w:p>
      <w:r>
        <w:t>- 22 - d’expertise médico-légal (P. 21, pp. 4-6). Enfin, la Cour de céans relève que les casiers judiciaires de P.________ font état de plusieurs antécédents judiciaires de violence, lesquels confirment, si nécessaire, la capacité de ce dernier à faire fi du consentement de la plaignante. C’est donc à juste titre, en procédant à une appréciation adéquate de preuves, que les premiers juges ont écarté les déclarations du prévenu au profit de celles de la plaignante. On ne discerne ainsi aucune violation de la présomption d’innocence. 6. 6.1 L’appelant conteste ensuite sa condamnation pour viol. Il se prévaut d’un arrêt récent du Tribunal fédéral rappelant la teneur actuelle du droit au sujet du consentement de la victime en matière de viol (TF 6B_894/2021 du 28 mars 2022). Il soutient qu’en toute hypothèse, il ne pouvait pas avoir perçu le refus de la plaignante. 6.2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(art. 189 CP). Celui qui, dans les mêmes circonstances, contraint une personne de sexe féminin à subir l’acte sexuel se rend coupable de viol au sens de l’art. 190 CP. Les art. 189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 TF 6B_367/2021 précité consid. 2.2.1). L’infraction visée par l’art. 190 CP exige donc non seulement qu’une personne subisse l’acte sexuel alors qu’elle ne le veut pas, mais</w:t>
      </w:r>
    </w:p>
    <w:p>
      <w:r>
        <w:t>- 23 -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w:t>
      </w:r>
    </w:p>
    <w:p>
      <w:r>
        <w:t>- 24 -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 6.3 C’est en vain que l’appelant soutient n’avoir pas eu conscience du refus de la plaignante, en s’écartant d’ailleurs de l’état de fait retenu valablement par les premiers juges. En effet, il est établi que la plaignante a dit au prévenu « d’aller se faire foutre » marquant ainsi clairement son désaccord à la relation sexuelle (PV aud. 1, R. 7, p. 4 ; PV aud. 8, l. 147). Elle a par ailleurs résisté physiquement, en tentant de le repousser. Il est donc établi que l’appelant a perçu l’opposition de la plaignante et a usé de contrainte, en recourant à la surprise d’abord, puis à la force que lui procurait sa supériorité physique. Peu importe que la plaignante n’ait pas crié ou ne se soit pas enfuie : tous les éléments objectifs et subjectif de l’art. 190 al. 1 CP sont donc réunis. La condamnation pour viol doit ainsi être confirmée. Enfin, c’est en vain que l’appelant tente de discréditer la plaignante, notamment en se référant à « diverses photographies et extraits provenant du profil Facebook de N.________ publiées sur son profil dont celle [du] 16 juin 2021 soit 3 jours après le dépôt de plainte pour viol contre P.________ ». En effet, il n’est pas nécessaire d’examiner les griefs de l’appelant au sujet de la réputation de la plaignante, dès lors que l’on ignore tout de la provenance de ces « extraits ». Par ailleurs, ces allégations sont sans pertinence et ne sont pas de nature à modifier l’appréciation des preuves décrites ci-dessus, lesquelles permettent de retenir que l’appelant a imposé une relation sexuelle complète à l’intimée.</w:t>
      </w:r>
    </w:p>
    <w:p>
      <w:r>
        <w:rPr>
          <w:b/>
        </w:rPr>
        <w:t>E. 7</w:t>
      </w:r>
    </w:p>
    <w:p>
      <w:r>
        <w:t>- 25 -</w:t>
      </w:r>
    </w:p>
    <w:p>
      <w:r>
        <w:rPr>
          <w:b/>
        </w:rPr>
        <w:t>E. 7.1</w:t>
      </w:r>
    </w:p>
    <w:p>
      <w:r>
        <w:t>L’appelant conteste ensuite sa condamnation pour conduite malgré une incapacité et violation de l’interdiction de conduire sous l’influence de l’alcool (art. 91 al. 2 let. a et b LCR). Invoquant la présomption d’innocence, il soutient avoir bu en attendant la police alors qu’il se trouvait déjà au camping et que la mesure à l’éthylomètre, survenue après, serait donc erronée.</w:t>
      </w:r>
    </w:p>
    <w:p>
      <w:r>
        <w:rPr>
          <w:b/>
        </w:rPr>
        <w:t>E. 7.2</w:t>
      </w:r>
    </w:p>
    <w:p>
      <w:r>
        <w:t>Selon l’art. 91 al. 2 LCR, est puni d’une peine privative de liberté de trois ans au plus ou d’une peine pécuniaire quiconque conduit un véhicule automobile en état d’ébriété et présente un taux d’alcool qualifié dans le sang ou dans l’haleine (let. a) ou conduit un véhicule automobile alors qu’il se trouve dans l’incapacité de conduire pour d’autres raisons (let. b).</w:t>
      </w:r>
    </w:p>
    <w:p>
      <w:r>
        <w:rPr>
          <w:b/>
        </w:rPr>
        <w:t>E. 7.3</w:t>
      </w:r>
    </w:p>
    <w:p>
      <w:r>
        <w:t>En l’espèce, il est établi que l’appelant s’est enivré avant de conduire son véhicule et qu’il présentait un taux moyen d’alcool dans le sang de 1.59 g/kg (intervalle de confiance : 1.51 ; 1.66 g/kg (gramme pour mille) (P. 10). En effet, dans son audition du 14 juin 2021, l’appelant a déclaré : « J’évalue ma consommation à 6-7 bières de 33dl. Nous avons aussi bu de la vodka, 2 shots » (PV aud. 2, p. 3, R. 6) avant d’indiquer qu’il était allé prendre sa voiture sur le parking pour rentrer au camping (PV aud. 2, p. 5, R. 6). L’appelant a par ailleurs indiqué : « Je suis rentré au camping. C’était à 3-4 minutes de voiture. […], effectivement j’ai conduit en état d’ivresse, un peu comme tout le monde ». Partant, la condamnation de l’appelant pour conduite malgré une incapacité doit être confirmée. A cet égard, on relèvera que les dispositions figurant dans l’entête du dispositif de première instance, reprises par la Cour de céans dans le dispositif communiqué aux parties, font mention de l’art. 91 al. 1 LCR. A la lecture de l’acte d’accusation et de considérants du jugement de première instance (cf. jugement du 16 mai 2022, p. 33), il apparaît toutefois qu’à juste titre – considérant l’alcoolémie retenue – P.________ a été renvoyé et condamné pour infraction à l’art. 91 al. 2 LCR. Il s’agit donc d’une erreur manifeste et en application de l’art. 83 CPP, l’article figurant dans le dispositif du présent jugement sera rectifié d’office sur ce point.</w:t>
      </w:r>
    </w:p>
    <w:p>
      <w:r>
        <w:t>- 26 -</w:t>
      </w:r>
    </w:p>
    <w:p>
      <w:r>
        <w:rPr>
          <w:b/>
        </w:rPr>
        <w:t>E. 8</w:t>
      </w:r>
    </w:p>
    <w:p>
      <w:r>
        <w:t>L’appelant réclame ensuite diverses indemnités pour ses frais de défense, son tort moral et la réparation de sa détention injustifiée, autant de prétentions qui doivent être rejetées, puisque sa condamnation est confirmée.</w:t>
      </w:r>
    </w:p>
    <w:p>
      <w:r>
        <w:rPr>
          <w:b/>
        </w:rPr>
        <w:t>E. 9</w:t>
      </w:r>
    </w:p>
    <w:p>
      <w:r>
        <w:t>L’appelant, qui a conclu à son acquittement, ne consacre aucun développement spécifique à l’encontre de la peine prononcée en première instance. Examinée d’office, celle-ci est adéquate. En effet, la culpabilité de P.________ est lourde dès lors qu’il s’en est pris sans vergogne à l’intégrité sexuelle d’autrui. Contestant purement et simplement tout comportement répréhensible et se positionnant en victime, il ne fait preuve d’aucune prise de conscience. A charge, il faut encore tenir compte des antécédents du prévenu et du concours d’infractions. A décharge, on retiendra, à l’instar des premiers juges, les bons renseignements obtenus de l’établissement de détention et de son employeur. Le viol est sanctionné par une peine privative de liberté. Au vu de la gravité des faits et de la faute de l’intéressé, la quotité de la peine sera arrêtée à 33 mois pour cette infraction, auxquels il convient d’ajouter trois mois pour réprimer l’infraction à la LCR. Cette peine est en théorie encore compatible avec un sursis partiel. Toutefois, considérant les nombreux antécédents de l’appelant en France et en Suisse pour des actes de violence physique et des infractions à la LCR, ainsi que l’absence totale de prise de conscience, le pronostic est manifestement défavorable. La peine sera donc ferme. La détention subie avant jugement sera déduite. Une amende, dont la quotité sera arrêtée à 100 fr., sera prononcée pour sanctionner la contravention à la LStup.</w:t>
      </w:r>
    </w:p>
    <w:p>
      <w:r>
        <w:rPr>
          <w:b/>
        </w:rPr>
        <w:t>E. 10.1</w:t>
      </w:r>
    </w:p>
    <w:p>
      <w:r>
        <w:t>L’appelant ne développe pas non plus de moyen spécifique relatif à la mesure d’expulsion prononcée à son encontre. Celle-ci doit néanmoins être examinée d’office.</w:t>
      </w:r>
    </w:p>
    <w:p>
      <w:r>
        <w:t>- 27 -</w:t>
      </w:r>
    </w:p>
    <w:p>
      <w:r>
        <w:rPr>
          <w:b/>
        </w:rPr>
        <w:t>E. 10.2.1</w:t>
      </w:r>
    </w:p>
    <w:p>
      <w:r>
        <w:t>Selon l'art. 66a al. 1 let. h CP, le juge expulse de Suisse, pour une durée de cinq à quinze ans, l'étranger qui est condamné, notamment, pour viol (art. 190 CP).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w:t>
      </w:r>
    </w:p>
    <w:p>
      <w:r>
        <w:t>- 28 -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w:t>
      </w:r>
    </w:p>
    <w:p>
      <w:r>
        <w:t>- 29 -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w:t>
      </w:r>
    </w:p>
    <w:p>
      <w:r>
        <w:rPr>
          <w:b/>
        </w:rPr>
        <w:t>E. 10.3</w:t>
      </w:r>
    </w:p>
    <w:p>
      <w:r>
        <w:t>P.________ est ressortissant français. Il a longuement vécu dans ce pays, où se trouve ses attaches familiales, notamment ses enfants. Il ne vit en Suisse que depuis 2019, essentiellement pour y travailler. Il n’a pas créé de lien étroit avec la Suisse et on ne saurait considérer que son intérêt privé à demeurer en Suisse l’emporterait sur l’intérêt public à son expulsion, ni que cette dernière le placerait dans une situation personnelle grave. Il n’y a donc pas lieu de faire application du cas de rigueur et l’expulsion obligatoire doit être prononcée. La durée de dix ans telle que prononcée par les premiers juges est adéquate et sera confirmée.</w:t>
      </w:r>
    </w:p>
    <w:p>
      <w:r>
        <w:rPr>
          <w:b/>
        </w:rPr>
        <w:t>E. 11</w:t>
      </w:r>
    </w:p>
    <w:p>
      <w:r>
        <w:t>Il résulte de ce qui précède que l’appel de P.________ doit être rejeté et le jugement entrepris confirmé. L’appel joint de N.________ est irrecevable. Le conseil juridique gratuit de la partie plaignante, Me Dorothée Raynaud, a produit une liste d’opérations faisant état de 34,85 heures d’activité (P. 85/1). Cette durée est manifestement excessive. Il y a notamment lieu de réduire d’une heure le total de près de 3 heures annoncé pour les rédactions et relecture de lettre à la cliente, ainsi que de 5 heures les 11 heures annoncées pour la rédaction de l’appel joint. Enfin, il y a lieu d’ajuster la durée de l’audience qui avait été estimée 4 heures et qui a en réalité duré 2 heures et 46 minutes. En définitive c’est donc un total de 27 heures et 37 minutes d’activité d’avocat qui doit être retenu. Au tarif de 180 fr. de l’heure (art. 2 al. 1 RAJ, applicable par</w:t>
      </w:r>
    </w:p>
    <w:p>
      <w:r>
        <w:t>- 30 - analogie en vertu de l’art. 26b TFIP), il convient d’allouer au conseil juridique gratuit un montant de 4'971 fr. à titre d’honoraires. A cela s’ajoutent un forfait pour les débours de 2 % (cf. art. 26b TFIP qui renvoie à l'art. 3bis RAJ), par 99 fr. 42, une vacation, par 120 fr., ainsi que la TVA sur le tout, au taux de 7,7 %, par 399 fr. 65. Partant, une indemnité d’un montant total de 5’590 fr. 07 sera allouée à Me Dorothée Raynaud pour la procédure d’appel. Elle sera laissée à la charge de l’Etat. Vu l’issue de la cause, les frais de la procédure d’appel, par 2’680 fr., constitués de l’émolument de jugement et d’audience (art. 21 al. 1 et 2 TFIP [Tarif des frais de procédure et indemnités en matière pénale du 28 septembre 2010 ; RSV 312.03.1]), seront mis, par quatre cinquièmes, soit 2’1440 fr., à la charge de P.________, qui succombe (art. 428 al. 1 CPP), le solde étant laissé à la charge de l’Etat, pour tenir compte de l’irrecevabilité de l’appel de la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