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PE21.010324 vom 28. September 2022</w:t>
      </w:r>
    </w:p>
    <w:p>
      <w:r>
        <w:t>VD Tribunal cantonal, 2022-09-28, FR</w:t>
      </w:r>
    </w:p>
    <w:p>
      <w:r>
        <w:rPr>
          <w:b/>
        </w:rPr>
        <w:t xml:space="preserve">Quelle: </w:t>
      </w:r>
      <w:r>
        <w:t>https://mcp.opencaselaw.ch/entscheid/vd_gerichte_PE21.010324</w:t>
      </w:r>
    </w:p>
    <w:p>
      <w:r>
        <w:t>FR: VD_GERICHTE PE21.010324 du 28 septembre 2022</w:t>
      </w:r>
    </w:p>
    <w:p>
      <w:r>
        <w:t>IT: VD_GERICHTE PE21.010324 del 28 settembre 2022</w:t>
      </w:r>
    </w:p>
    <w:p>
      <w:pPr>
        <w:pStyle w:val="Heading2"/>
      </w:pPr>
      <w:r>
        <w:t>Erwägungen</w:t>
      </w:r>
    </w:p>
    <w:p>
      <w:r>
        <w:rPr>
          <w:b/>
        </w:rPr>
        <w:t>E. 3</w:t>
      </w:r>
    </w:p>
    <w:p>
      <w:r>
        <w:t>Au vu de ce qui précède, le recours doit être admis et les chiffres VII et VIII de l'ordonnance attaquée annulés. Le dossier de la cause sera renvoyé à l’autorité intimée pour qu’elle procède dans le sens des considérants. Le défenseur d'office qui recourt en son nom propre a droit à des honoraires calculés sur la base du tarif horaire prévu pour l’activité déployée dans le cadre d’un mandat d’office (Juge unique CREP 24 février 2020/137 consid. 2.2 ; Juge unique CREP 28 juin 2019/537 précité consid. 3). Au vu de la nature de la cause et du mémoire produit, l’indemnité allouée au recourant est fixée à 180 fr., correspondant à une heure d’activité nécessaire d’avocat au tarif horaire de 180 fr., auxquels il y a lieu d’ajouter des débours forfaitaires à concurrence de 2 % des honoraires admis (art. 3bis al. 1 RAJ, applicable par renvoi de l’art. 26b TFIP [tarif des frais de procédure et indemnités en matière pénale du 28 septembre 2010 ; BLV 312.03.1]), par 3 fr. 60, plus la TVA au taux de 7,7 %, par 14 fr. 15, soit à 198 fr. au total en chiffres arrondis. Vu le sort de la cause, les frais de la procédure de recours, constitués du seul émolument d'arrêt, par 900 fr. (art. 20 al. 1 TFIP), seront laissés à la charge de l’Etat (art. 423 al. 1 CPP). Par ces motifs, le juge unique prononce : I. Le recours est admis. II. Les chiffres VII et VIII du dispositif de l'ordonnance du 26 juillet 2022 sont annulés en tant qu’ils portent sur le montant de l’indemnité d’office allouée à Me T.________. III. Le dossier de la cause est renvoyé au Ministère public de l'arrondissement de La Côte pour qu’il procède dans le sens des considérants.</w:t>
      </w:r>
    </w:p>
    <w:p>
      <w:r>
        <w:t>- 12 - IV. Une indemnité de 198 fr. (cent nonante-huit francs) est allouée à Me T.________ pour la procédure de recours, à la charge de l’Etat. V. Les frais d'arrêt, par 900 fr. (neuf cents francs) sont laissés à la charge de l'Etat. VI. L’arrêt est exécutoire. Le juge unique : La greffière : Du Le présent arrêt, dont la rédaction a été approuvée à huis clos, est notifié, par l'envoi d'une copie complète, à : - Me T.________, - Ministère public central, et communiqué à : - Mme la Procureure du Ministère public de l'arrondissement de la Côte, - Caisse cantonale vaudoise de compensation AVS; - Service de la population; - Me Loïka Lorenzini (pour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w:t>
      </w:r>
    </w:p>
    <w:p>
      <w:r>
        <w:t>- 13 -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