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PE21.010213 vom 4. Mai 2022</w:t>
      </w:r>
    </w:p>
    <w:p>
      <w:r>
        <w:t>VD Tribunal cantonal, 2022-05-04, FR</w:t>
      </w:r>
    </w:p>
    <w:p>
      <w:r>
        <w:rPr>
          <w:b/>
        </w:rPr>
        <w:t xml:space="preserve">Quelle: </w:t>
      </w:r>
      <w:r>
        <w:t>https://mcp.opencaselaw.ch/entscheid/vd_gerichte_PE21.010213</w:t>
      </w:r>
    </w:p>
    <w:p>
      <w:r>
        <w:t>FR: VD_GERICHTE PE21.010213 du 4 mai 2022</w:t>
      </w:r>
    </w:p>
    <w:p>
      <w:r>
        <w:t>IT: VD_GERICHTE PE21.010213 del 4 maggio 2022</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RS 312.0]), déclare l'opposition irrecevable, par exemple pour cause de tardiveté, est susceptible de recours selon les art. 393 ss CPP (Gilliéron/Killias, in : Jeanneret/Kuhn/Perrier Depeursinge [éd.], Code de procédure pénale suisse, Commentaire romand, 2e éd., Bâle 2019, n. 5 ad art. 356 CPP; Riklin, in : Niggli/Heer/Wiprächtiger [éd.], Basler Kommentar, Schweizerische Strafprozess-ordnung, Jugendstrafprozessordnung, 2e éd., Bâle 2014, n. 2 ad art. 356 CPP).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Interjeté en temps utile devant l’autorité compétente par le prévenu qui a qualité pour recourir (art. 382 al. 1 CPP), le recours est recevable, sous réserve de ce qui suit.</w:t>
      </w:r>
    </w:p>
    <w:p>
      <w:r>
        <w:rPr>
          <w:b/>
        </w:rPr>
        <w:t>E. 2.1</w:t>
      </w:r>
    </w:p>
    <w:p>
      <w:r>
        <w:t>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(cf. art. 89 al. 1 CPP) – commence à courir le jour qui suit la notification de l’ordonnance entreprise (art. 90</w:t>
      </w:r>
    </w:p>
    <w:p>
      <w:r>
        <w:t>- 5 - al. 1 CPP). 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L’opposition doit être remise au plus tard le dernier jour du délai à l’autorité pénale, à la Poste suisse, à une représentation consulaire ou diplomatique suisse ou, s’agissant de personnes détenues, à la direction de l’établissement carcéral (cf. art. 91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2.2</w:t>
      </w:r>
    </w:p>
    <w:p>
      <w:r>
        <w:t>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w:t>
      </w:r>
    </w:p>
    <w:p>
      <w:r>
        <w:t>- 6 - l'objet d'une instruction pénale au sens de l'art. 309 CPP (TF 6B_1391/2021 du 25 avril 2022 consid. 1.1; TF 6B_288/2020 du 16 octobre 2020 consid. 1.1.3; TF 6B_723/2020 du 2 septembre 2020 consid. 1.1.1).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ATF 141 II 429 consid. 3.1; ATF 139 IV 228 consid. 1.1 et les références citées; TF 6B_1391/2021 du 25 avril 2022 précité, ibid.; TF 6B_288/2020 du 16 octobre 2020 précité, ibid.).</w:t>
      </w:r>
    </w:p>
    <w:p>
      <w:r>
        <w:rPr>
          <w:b/>
        </w:rPr>
        <w:t>E. 2.3.1</w:t>
      </w:r>
    </w:p>
    <w:p>
      <w:r>
        <w:t>En l’espèce, la question à trancher est celle de la validité de la notification fictive de l’ordonnance pénale du 16 février 2022. Il est constant que le pli contenant cette ordonnance n’a pas été retiré à la poste par son destinataire durant le délai de garde.</w:t>
      </w:r>
    </w:p>
    <w:p>
      <w:r>
        <w:rPr>
          <w:b/>
        </w:rPr>
        <w:t>E. 2.3.2</w:t>
      </w:r>
    </w:p>
    <w:p>
      <w:r>
        <w:t>Il résulte du procès-verbal d’audition du 16 octobre 2020 devant la Police genevoise que le recourant a été entendu après que le formulaire de rappel de ses droits et obligations lui a été remis et qu’il a indiqué, notamment, être domicilié à [...] à [...]. Il a signé ce procès-verbal. Une copie en arabe du formulaire ad hoc figure au dossier transmis par le Ministère public de la République et Canton de Genève (P. 5), et le recourant ne conteste pas avoir pris connaissance du formulaire en question, signé de sa main comme déjà relevé. Dans son recours, il fait toutefois grief à la direction de la procédure de l’avoir entendu sans l’intermédiaire d’un traducteur. Il ne résulte cependant pas du procès- verbal d’audition, ni d’ailleurs de ses écrits, qu’il ne comprendrait pas le français. Au contraire, en première page du procès-verbal, il est mentionné, sous le champ « langue maternelle parlée » : « Arabe,</w:t>
      </w:r>
    </w:p>
    <w:p>
      <w:r>
        <w:t>- 7 - français »; en outre, le recourant a apposé sa signature immédiatement en dessous de la mention « Je n’ai pas besoin de traducteur ». En particulier, l’opposition et l’acte de recours sont rédigés en français. Force est dès lors d’admettre que le recourant a été valablement informé de son statut de prévenu dans la procédure en cause, des faits qui lui étaient reprochés et de ce qu’il était partie à une procédure pénale. En outre, comme il l’admet lui-même dans son acte de recours, il savait qu’une procédure de fixation de for s’était déroulée en 2021 entre les cantons de Genève et de Vaud. Au demeurant, durant cette procédure, il avait insisté pour pouvoir relever de la juridiction du lieu de son domicile et avait reçu, de son propre aveu, l’ordonnance de reprise d’enquête après fixation de for du 12 juillet 2021.</w:t>
      </w:r>
    </w:p>
    <w:p>
      <w:r>
        <w:rPr>
          <w:b/>
        </w:rPr>
        <w:t>E. 2.3.3</w:t>
      </w:r>
    </w:p>
    <w:p>
      <w:r>
        <w:t>Il s’ensuit que le recourant était alors au courant qu'il faisait l'objet d'une instruction pénale au sens de l'art. 309 CPP et qu’il devait, partant, s’attendre à la notification d'un prononcé (cf. les arrêts cités au consid. 2.2 ci-dessus). A supposer qu’il ait dû s’absenter, ce qu’il allègue sans l’étayer par la production du moindre document, il devait ainsi désigner un représentant, faire suivre son courrier, informer les autorités de son absence ou leur indiquer une adresse de notification (ibid.).</w:t>
      </w:r>
    </w:p>
    <w:p>
      <w:r>
        <w:rPr>
          <w:b/>
        </w:rPr>
        <w:t>E. 2.3.4</w:t>
      </w:r>
    </w:p>
    <w:p>
      <w:r>
        <w:t>C’est dès lors en vain qu’il fait valoir qu’au moment de la notification de l’ordonnance, il était à l’étranger pour les funérailles de son neveu et que ce n’était qu’à son retour qu’il aurait trouvé l’avis d’un recommandé qu’il n’a pas reçu. D’une part, il ne rend pas vraisemblable cette absence et, d’autre part, même s’il avait été absent, il aurait dû prendre les mesures précitées. De toute manière, dans son recours, il allègue que son neveu est décédé le 20 avril (2022) et qu’il a alors dû voyager hors de Suisse pour présenter ses condoléances. Etant donné que l’ordonnance pénale lui a été envoyée pour notification le 16 février 2022, on ne voit pas quelle incidence cette prétendue absence – postérieure – aurait pu avoir sur la validité de la notification.</w:t>
      </w:r>
    </w:p>
    <w:p>
      <w:r>
        <w:t>- 8 - Pour le reste, s’il conteste l’instruction menée par l’autorité genevoise, qu’il tient implicitement pour incompétente « ratione loci » du fait de sa résidence vaudoise, il n’en reste pas moins qu’à la suite du transfert de for en faveur de l’autorité vaudoise, conformément à l’art. 31 al. 1, 1re phrase, CPP (cf. P. 4/1 et 4/2), les décisions ont bien été rendues par un procureur, puis par un tribunal de police vaudois. Ce moyen doit être rejeté.</w:t>
      </w:r>
    </w:p>
    <w:p>
      <w:r>
        <w:rPr>
          <w:b/>
        </w:rPr>
        <w:t>E. 2.3.5</w:t>
      </w:r>
    </w:p>
    <w:p>
      <w:r>
        <w:t>Dans ces conditions, c’est à bon droit que le Tribunal de police a constaté que l’ordonnance pénale du 16 février 2022, assimilée à un jugement entré en force (art. 354 al. 3 CPP), était exécutoire.</w:t>
      </w:r>
    </w:p>
    <w:p>
      <w:r>
        <w:rPr>
          <w:b/>
        </w:rPr>
        <w:t>E. 3</w:t>
      </w:r>
    </w:p>
    <w:p>
      <w:r>
        <w:t>Il résulte de ce qui précède que le recours, manifestement mal fondé, doit être rejeté, sans échange d’écritures (art. 390 al. 2 CPP), et le prononcé du 24 mars 2022 confirmé. Les frais de la procédure de recours, constitués en l’espèce du seul émolument d'arrêt (art. 422 al. 1 CPP), par 770 fr. (art. 20 al. 1 TFIP [tarif des frais de procédure et indemnités en matière pénale; BLV 312.03.1), seront mis à la charge du recourant, qui succombe (art. 428 al. 1 CPP). Par ces motifs, la Chambre des recours pénale, statuant à huis clos, prononce : I. Le recours est rejeté. II. Le prononcé du 24 mars 2022 est confirmé. III. Les frais de la procédure de recours, par 770 fr. (sept cent septante francs), sont mis à la charge de U.________. IV. L'arrêt est exécutoire.</w:t>
      </w:r>
    </w:p>
    <w:p>
      <w:r>
        <w:t>- 9 - La présidente : Le greffier : Du Le présent arrêt, dont la rédaction a été approuvée à huis clos, est notifié, par l'envoi d'une copie complète, à : - M. U.________, - Ministère public central, et communiqué à : - Mme la Procureure de l’arrondissement de l’Est vaudois, - Mme la Présidente du Tribunal de police de l’arrondissement de l’Est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