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PE21.009975 vom 13. März 2023</w:t>
      </w:r>
    </w:p>
    <w:p>
      <w:r>
        <w:t>VD Tribunal cantonal, 2023-03-13, FR</w:t>
      </w:r>
    </w:p>
    <w:p>
      <w:r>
        <w:rPr>
          <w:b/>
        </w:rPr>
        <w:t xml:space="preserve">Quelle: </w:t>
      </w:r>
      <w:r>
        <w:t>https://mcp.opencaselaw.ch/entscheid/vd_gerichte_PE21.009975</w:t>
      </w:r>
    </w:p>
    <w:p>
      <w:r>
        <w:t>FR: VD_GERICHTE PE21.009975 du 13 mars 2023</w:t>
      </w:r>
    </w:p>
    <w:p>
      <w:r>
        <w:t>IT: VD_GERICHTE PE21.009975 del 13 marzo 2023</w:t>
      </w:r>
    </w:p>
    <w:p>
      <w:pPr>
        <w:pStyle w:val="Heading2"/>
      </w:pPr>
      <w:r>
        <w:t>Erwägungen</w:t>
      </w:r>
    </w:p>
    <w:p>
      <w:r>
        <w:rPr>
          <w:b/>
        </w:rPr>
        <w:t>E. 45</w:t>
      </w:r>
    </w:p>
    <w:p>
      <w:r>
        <w:t>s.). Les faits ne sont pas contestés par l’appelant et il faut constater qu’il a commencé par proférer des menaces de mort vis-à-vis du plaignant B.H.________ avant de l’attaquer au moyen du profilé métallique qu’il tenait en mains (« je vais te couper la tête, je vais te trancher. »). Le plaignant a été contraint d’esquiver les premiers coups, portés « de haut en bas » pour ne pas être blessé. Dans son audition, ce plaignant a précisé ce qui suit : « […] j’ai dû reculer de trois pas pour éviter de me prendre un coup. Si je ne m’étais pas retiré, j’aurais reçu une frappe diagonale sur mon épaule gauche vers le bas de mon buste » (PV aud. 2, R. 5, p. 2). Le plaignant a également dû s’emparer d’un tube de carbone pour parer les coups suivants. Il décrit la scène en ces termes « […] nous nous sommes battus ʺcomme des chevaliersʺ. D’ailleurs, lorsque les métaux se sont entrechoqués, ça faisait des étincelles. ». Arrivé peu après sur place. le plaignant A.H.________ s’est quant à lui protégé des premiers coups de l’appelant au moyen de son bras, ce qui a provoqué les lésions que l’on sait. Ces coups ont été donnés en direction de la tête. Une fois désarmé par les plaignants, l’appelant s’est immédiatement emparé d’un deuxième profilé métallique pour poursuivre son agression. Le scénario (désarmement et reprise de l’agression avec un nouveau profilé métallique) s’est répété à plusieurs reprises, l’appelant proférant encore de nouvelles menaces de mort (cf. PV aud. 2, R. 5, p. 3). B.H.________ a de nouveau été contraint d’effectuer des manœuvres d’esquives. Même à terre, après avoir été finalement frappé par A.H.________, l’appelant a continué de menacer les plaignants. Les 4 phases d’attaques successives décrites dans l’acte d’accusation démontrent que les plaignants ont été confrontés à un agresseur résolu à mettre ses menaces de mort à exécution. L’appelant n’a cessé ses agressions qu’une fois à terre, hors d’état de combattre. Il n’a quitté les lieux qu’en entendant la police arriver. Il a repris ses menaces de mort à l’encontre d’A.H.________ devant la police qui l’avait interpellé et menotté (PV aud. 4, D. 6, p. 7).</w:t>
      </w:r>
    </w:p>
    <w:p>
      <w:r>
        <w:t>- 28 - Au vu des menaces de mort proférées continuellement durant les faits, de la haine viscérale que l’appelant vouait déjà à ses voisins avant les événements (cf. cas 1 et 2 de l’acte d’accusation, ch. 2.1 et 2.2 supra) et de la partie du corps qu’il a visée avec les profilés métalliques, soit la tête, les premiers juge étaient fondés à retenir pour établie l’intention homicide de l’appelant à tout le moins au stade du dol éventuel. 4. Fondé sur la prémisse de son acquittement du chef de tentative de meurtre, l’appelant conteste la peine prononcée à son encontre. Il reproche aux premiers juges de ne pas avoir correctement tenu compte de sa diminution de responsabilité pénale en lien avec ses troubles psychiques.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t>- 29 - 4.1.2 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t>- 30 - 4.1.3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 4.2 En l’espèce, les premiers juges ont considéré que la culpabilité de l’appelant était en première analyse très lourde. A charge, ils ont retenu qu’il était obnubilé par des conceptions erronées qu’il se refusait à</w:t>
      </w:r>
    </w:p>
    <w:p>
      <w:r>
        <w:t>- 31 - remettre en cause, entretenant en lui une haine injustifiée envers ses voisins. Seule sa personne et ses propres intérêts comptait à ses yeux et autrui n’avait aucune valeur s’il était en travers de son chemin, même pour tenter de le secourir. Cela le poussait à mépriser jusqu’à la vie de qui le contrecarrait, même si y attenter n’était pas son but premier. Les biens visés au cas n° 6 de l’acte d’accusation (cf. ch. 2.6 supra) constituaient les plus élevés de l’ordre juridique, à savoir la vie et l’intégrité corporelle, et si le premier de ces biens n’avait pas été atteint, c’était en raison du hasard et de la réaction de la victime. L’intensité délictuelle était élevée ; elle concernait une période relativement longue et portait sur une multiplicité d’infractions, avec de mauvais antécédents. Les perspectives d’avenir de l’appelant ont été considérées comme peu favorables au vu des obsessions qu’il se refusait à lâcher, démontrant une absence totale de prise de conscience. Enfin, il y avait eu répétition dans le temps et commission simultanée d’infractions, en concours, la plus grave étant la tentative de meurtre par dol éventuel. A décharge, les premiers juges ont tenu compte des conclusions des experts (P. 128 p. 16 et P. 180), pour retenir une diminution moyenne de la responsabilité pénale de l’appelant et considérer que sa responsabilité était de moyenne à lourde pour toutes les infractions retenues à son encontre (cf. jgmt, pp. 51-52). Cette appréciation ne prête pas le flanc à la critique et doit être confirmée. En effet, la culpabilité de l’appelant est très lourde. Il est reconnu coupable de tentative de meurtre, de lésions corporelles simples qualifiées, de rixe (cf. ch. 2.6 supra), de vols d’importance mineure et de dommages à la propriété d’importance mineure (cf. ch. 2.3, 2.4, 2.5 et 2.6 supra), d’injure (cf. ch. 2.2, 2.6 et 2.7 supra), de menaces (cf. ch. 2.1, 2.2 et 2.6 supra), de violation de domicile (cf. ch. 2.3, 2.4, 2.5 et 2.6 supra) et de violence ou menace contre les autorités et les fonctionnaires (cf. ch. 2.7 et 2.8 supra). Les infractions sont en concours. La responsabilité pénale de l’appelant est moyennement diminuée. La réduction à opérer conduit par conséquent à retenir une faute moyenne à grave. Compte tenu des autres critères applicables à la fixation de la peine, tels qu’ils ont été énoncés par les premiers juges, la peine de base,</w:t>
      </w:r>
    </w:p>
    <w:p>
      <w:r>
        <w:t>- 32 - soit celle devant sanctionner la tentative de meurtre par dol éventuel, justifie une peine privative de liberté de 24 mois. Par l’effet du concours, il convient d’ajouter à cette peine 5 mois pour les lésions corporelles simples qualifiées, 4 mois pour la rixe, 1 mois pour chacune des trois menaces retenues, soit un total de 3 mois, 1 mois pour chaque cas de violences et menaces contre les autorités et les fonctionnaires, soit 2 mois au total, et enfin 15 jours pour chacune des quatre violations de domicile, soit 2 mois au total, ce qui correspond au 40 mois prononcés par les premiers juges. Il convient en outre de confirmer la peine pécuniaire de 40 jours-amende à 30 fr. le jour sanctionnant les injures, ainsi que l’amende de 600 fr. prononcée pour punir les infractions d’importance mineurs contre le patrimoine, la peine privative de liberté de substitution étant arrêtée à 6 jours, l’appelant ne contestant du reste pas ces sanctions. 5. L’appelant conteste la mesure d’internement prononcée contre lui, estimant pouvoir être soigné, ce qui exclurait une mesure aussi extrême. 5.1 5.1.1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w:t>
      </w:r>
    </w:p>
    <w:p>
      <w:r>
        <w:t>- 33 - L'internement fondé sur l'art. 64 CP suppose, en premier lieu, que l'auteur ait commis l'une des infractions énumérées à l'alinéa 1 de cette disposition (assassinat, meurtre, lésion corporelle grave, viol, brigandage, prise d'otage, incendie, mise en danger de la vie d'autrui) ou une autre infraction passible d'une peine privative de liberté maximale de cinq ans au moins, par laquelle il a porté ou voulu porter gravement atteinte à l'intégrité physique, psychique ou sexuelle d'autrui. L'atteinte grave (portée ou voulue) à l'intégrité physique, psychique ou sexuelle d'un tiers vaut tant pour les infractions citées dans le catalogue que pour celles qui sont visées par la clause générale de l'art. 64 al. 1 CP. Pour juger de la gravité de l'atteinte, il convient de se fonder sur un critère objectif et de se demander si, selon l'expérience générale de la vie, l'acte en question est propre à entraîner un traumatisme chez la victime (ATF 139 IV 57 consid. 1.3.3).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de récidive doit concerner des infractions du même genre</w:t>
      </w:r>
    </w:p>
    <w:p>
      <w:r>
        <w:t>- 34 -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(cf. ATF 140 IV 1 consid. 3.2.4 ; ATF 134 IV 315 consid. 3.2). 5.1.2 Aux termes de l'art. 59 al. 1 CP,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 3.2.4 ; ATF 134 IV 315 consid. 3.4.1). L'exigence d'un tel pronostic ne signifie pas qu'un condamné souffrant de trouble mental ne pourra pas recevoir l'assistance nécessaire, mais</w:t>
      </w:r>
    </w:p>
    <w:p>
      <w:r>
        <w:t>- 35 -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(TF 6B_1348/2017 du 22 janvier 2018 consid. 1.1.2 ; TF 6B_954/2016 du 28 septembre 2017 consid. 1.1.2 ; TF 6B_1307/2015 du 9 décembre 2016 consid. 4.1.3). 5.1.3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(TF 6B_1348/2017 précité consid. 1.1.3 ; TF 6B_346/2016 du 31 janvier 2017 consid. 3.2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w:t>
      </w:r>
    </w:p>
    <w:p>
      <w:r>
        <w:t>- 36 - être ordonnée et, cas échéant, laquelle. En effet, ce n'est pas à l'expert, mais bien au juge qu'il appartient de résoudre les questions juridiques qui se posent, dans le complexe de faits faisant l'objet de l'expertise (TF 6B_1160/2017 du 17 avril 2018 consid. 2.1 ; TF 6B_1348/2017 précité consid. 1.1.3 ; TF 6B_346/2016 précité consid. 3.2 et les références citées). 5.2 Pour justifier la mesure d’internement, les premiers juges ont tout d’abord indiqué, exemples à l’appui, que l’appelant manifestait un sentiment de rage intense à l’égard de tous ceux qui l’avaient privé de son jardin et plus encore contre quiconque y avance un pied, décrivant ce sentiment comme viscéralement ancré en lui. Le Tribunal correctionnel a pu mesurer l’ampleur de la colère éprouvée par l’appelant qu’il a dû expulser de la salle d’audience lors du réquisitoire, après un avertissement. Admettant que l’appelant ne nourrissait pas d’intention homicide déterminée et actuelle, les premiers juges ont toutefois constaté qu’aussitôt le sentiment d’injustice ravivé, en particulier au sujet du jardin, l’appelant perdait tout contrôle de lui-même et se déchaînait, cette agressivité demandant toujours plus d’énergie avec le temps pour être contenue. Les premiers juges ont ensuite rappelé que les experts parvenaient au même constat, estimant que le conflit avec les voisins reprendrait une fois l’appelant de retour chez lui. Quant au risque élevé de récidive, tel qu’il a été évalué par les experts, les premiers juges ont indiqué qu’il était confirmé par l’extrait du casier judiciaire de l’appelant. En définitive, ils ont considéré qu’un internement devait être prononcé au vu du risque très élevé que l’appelant s’en prenne à nouveau à ses voisins, pour les mêmes raisons et selon le même mode, ce d’autant qu’à l’audience encore il n’avait montré qu’un intérêt de façade pour un suivi psychothérapeutique (cf. jgmt, pp. 54-56). Cette appréciation doit être nuancée. En effet, en dépit du caractère incertain de la réussite d’un suivi psychothérapeutique et de la durée nécessairement longue de celui-ci, les experts ont recommandé la mise en œuvre d’un traitement ambulatoire en vue de réduire le risque élevé de récidive présenté par l’appelant. Cette possibilité de traitement</w:t>
      </w:r>
    </w:p>
    <w:p>
      <w:r>
        <w:t>- 37 - interdit le prononcé d’une mesure d’internement qui doit constituer l’ultima ratio, dès lors qu’une perspective de guérison n’est pas exclue à ce stade. Il convient cependant de s’écarter de la position des experts préconisant un traitement ambulatoire. En effet, au vu des nombreuses lettres préoccupantes que l’appelant envoie depuis qu’il est en détention et de son attitude de profond déni aux débats de première instance, mais également aux débats d’appel – l’appelant indiquant que s’il fallait qu’un traitement ambulatoire soit suivi, il le serait mais que le problème ne résidait pas là – la Cour de céans partage la position des premiers juge selon laquelle une récidive d’actes violents est d’ores et déjà programmée dès que l’appelant se retrouvera confronté à ses voisins à sa sortie de prison. En l’état, un retour à domicile de l’appelant apparaît tout simplement inenvisageable et un simple traitement ambulatoire impropre à contenir une récidive face à un patient anosognosique tel que l’appelant, ce d’autant que les experts eux-mêmes estiment que des évaluations régulières du risque de récidive devraient être faites par un médecin expérimenté (P. 128, p. 20), ce qui paraît concrètement inapplicable, sauf à vouloir reporter la responsabilité de l’analyse de la dangerosité d’un individu sur un praticien privé, alors que cette analyse ressort des autorités pénitentiaires ou judiciaires, assistées d’experts spécialistes. En l’occurrence, la dangerosité de l’appelant est avérée et l’ensemble des éléments à disposition (déclarations de l’appelant en procédure et ses courriers, ainsi que l’expertise psychiatrique) démontre que cette dangerosité ne saurait, à tout le moins dans un premier temps, être prise en charge, respectivement jugulée, par un simple traitement ambulatoire, étant précisé que l’importance des troubles et de la dangerosité ne laisse pas prévoir d’amélioration possible dans le délai de 2 mois, prévu par l’art. 63 al. 3 CP, ce d’autant que la durée d’incarcération, totalisant plus de 2 ans, n’a exercé aucune influence significative sur sa perception des évènements et sa manière d’envisager l’avenir, en particulier son conflit de voisinage. Compte tenu de la gravité du trouble mental de l’appelant, de la haine qu’il continue à ressentir envers ses voisins et de sa dangerosité, la Cour de céans parvient ainsi à la conclusion que seul un traitement</w:t>
      </w:r>
    </w:p>
    <w:p>
      <w:r>
        <w:t>- 38 - institutionnel au sens de l’art. 59 CP est susceptible de limiter efficacement le risque de récidive. 6. Conformément à l’art. 51 CP, la détention pour des motifs de sûreté subie par B.________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du risque de réitération (art. 221 al. 1 let. c CPP), qualifié d’élevé par les experts. 7. Me Julie Sottas conteste le montant de l’indemnité d’office allouée par les premiers juges à hauteur de 15'948 fr. 20. Elle leur reproche notamment d’avoir retranché 10 heures au temps annoncé pour la préparation de l’audience de première instance et celui qui a été décompté pour la tenue de cette audience, concluant à l’allocation d’un montant de 18'019 fr. 05, correspondant aux 82 heures de travail dans la liste produite aux débats de première instance (P. 237/1, annexe 3). 7.1 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w:t>
      </w:r>
    </w:p>
    <w:p>
      <w:r>
        <w:t>- 39 -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7.2 En l’espèce, sur les 82 heures annoncées par l’avocate, 10 heures ont été retranchées par les premiers juges qui ont supprimé 1h15 de temps d’audience et, par déduction, 8h45 de préparation d’audience (cf. jgmt, p. 60). La Cour de céans constate tout d’abord que Me Julie Sotas a remplacé un précédant défenseur d’office qui n’est pas parvenu à conserver une relation de confiance avec son client. La procédure concerne en outre une affaire criminelle dont les enjeux sont d’une importance certaine. Selon le procès-verbal des opérations, l’audience de lecture du 13 mars 2023 a duré 49 minutes. Si l’on tient compte de ce que Me Sottas a travaillé son dossier lors de la pause de midi et qu’elle a vu son client en cellule, le temps de 8 heures que l’avocate a annoncé pour la journée d’audience du 9 mars 2023 doit être admis. Si l’on prend en compte un entretien avec le client après l’audience de lecture, le temps annoncé par Me Sottas pour le lundi 13 mars 2023 est également adéquat. Il convient dès lors de restituer à l’avocate 1h15 pour son activité lors des deux jours en question. S’agissant du temps consacré à la préparation de l’audience, Me Sottas a annoncé 19h de travail du 8 février au 8 mars 2023 (0h30, 4h00, 2h00, 5h00, 4h00, 3h30), ce qui paraît effectivement excessif, étant</w:t>
      </w:r>
    </w:p>
    <w:p>
      <w:r>
        <w:t>- 40 - rappelé qu’elle a été nommée en juin 2022, soit bien avant l’audience de jugement. Elle mentionne 6h20 d’étude du dossier entre le 7 et le 23 juin 2022, soit en début de mandat (0h15 le 7 juin 2022, 1h45 et 1h15 le 13 juin 2022, 1h50 le 14 juin 2022 et 1h15 le 23 juin 2022), ce qui est adéquat. Sur les 19h de temps consacré à la préparation de l’audience de jugement, il convient ainsi de retrancher 7 heures pour ne retenir en définitive que 12 heures, soit un jour et demi de travail. Compte tenu de ce qui précède, 75 heures d’activité peuvent être admis pour la procédure de première instance. Au tarif horaire de 180 fr. les honoraires de première instance s’élèvent ainsi à 13'500 fr. (75 x 180.-), auxquels s’ajoutent des débours forfaitaires de 5% (art. 3bis al. 1 RAJ par renvoi de l'art. 26a al. 6 TFIP), par 675 fr., 10 vacations forfaitaires par 1'200 fr., et la TVA à 7,7% sur le tout, par 1'183 fr. 90, soit un total de 16'558 fr. 90. 8. 8.1 Au vu de ce qui précède, l’appel de B.________ et le recours de Me Justine Sottas doivent être partiellement admis, le jugement entrepris étant réformé dans le sens des considérants qui précèdent. 8.2 Me Julie Sottas a produit en audience une liste d’opérations pour la procédure d’appel, faisant état d’une activité de 30 heures et 45 minutes (P. 283), ce qui peut être admis sous réserve de la durée effective de l’audience d’appel qui sera ramenée à 1 heure en lieu et place des 2 heures et 30 minutes estimées dans la liste d’opérations. On retiendra ainsi une activité de 29 heures et 15 minutes. Au tarif horaire de 180 fr., cela correspond à des honoraires de 5'265 fr., auxquels s’ajoutent des débours forfaitaires de 2%, par 105 fr. 30, une vacation de 120 fr. et la TVA sur le tout, par 422 fr. 75, soit une indemnité d’office totale de 5'913 fr. 05. 8.3 Le défenseur d’office qui recourt en son propre nom a droit à des honoraires, calculés sur la base du tarif horaire prévu pour l’activité</w:t>
      </w:r>
    </w:p>
    <w:p>
      <w:r>
        <w:t>- 41 - déployée dans le cadre d’un mandat d’office (Ruckstuhl, in : Basler Kommentar, op. cit., nn. 16 et 18 ad ad art. 135 CPP ; Juge unique CREP 14 septembre 2020/705 consid. 3 et les réf. citées). Me Julie Sottas a conclu à l’allocation en sa faveur d’une indemnité de 405 fr. 70. TVA et débours inclus, correspondant à 2 heures de travail en relation avec la rédaction de son recours, ce qui est adéquat. C’est ainsi une indemnité de 405 fr. 70 qui sera allouée. Le chiffre VII du dispositif du jugement de la Cour d’appel communiqué aux parties le 12 septembre 2023 comporte une omission manifeste en ce sens que le montant de l’indemnité allouée à Me Julie Sottas correspondant aux opérations effectuées en son nom propre dans le cadre du recours n’y figure pas. Le dispositif sera rectifié d’office en application de l’art. 83 CPP, l’indemnité de 405 fr. 70 sera due par l’Etat. 8.4 A défaut d’avoir chiffré ses prétentions ou conclusions alors qu’il avait été invité à le faire dans la convocation à l’audience d’appel, A.H.________ ne peut prétendre à aucune indemnité au sens de l’art. 433 al. 2 CPP pour la procédure d’appel. 8.5 Vu l’issue de la cause, les frais de la procédure d’appel, par 10'023 fr. 05 constitués des émoluments de jugement et d’audience (art. 21 al. 1 et 2 TFIP), par 4’110 fr. ainsi que de l’indemnité d’office de 5'913 fr. 05, seront mis par trois quarts, soit par 7’517 fr. 30, à la charge de B.________, le solde étant laissé à la charge de l’Etat. B.________ ne sera tenu de rembourser à l’Etat les trois quarts de l’indemnité allouée à son défenseur d’office que lorsque sa situation financière le permettra (art. 135 al. 4 let. a CPP).</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