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PE21.009719 vom 15. November 2023</w:t>
      </w:r>
    </w:p>
    <w:p>
      <w:r>
        <w:t>VD Tribunal cantonal, 2023-11-15, FR</w:t>
      </w:r>
    </w:p>
    <w:p>
      <w:r>
        <w:rPr>
          <w:b/>
        </w:rPr>
        <w:t xml:space="preserve">Quelle: </w:t>
      </w:r>
      <w:r>
        <w:t>https://mcp.opencaselaw.ch/entscheid/vd_gerichte_PE21.009719</w:t>
      </w:r>
    </w:p>
    <w:p>
      <w:r>
        <w:t>FR: VD_GERICHTE PE21.009719 du 15 novembre 2023</w:t>
      </w:r>
    </w:p>
    <w:p>
      <w:r>
        <w:t>IT: VD_GERICHTE PE21.009719 del 15 novembre 2023</w:t>
      </w:r>
    </w:p>
    <w:p>
      <w:pPr>
        <w:pStyle w:val="Heading2"/>
      </w:pPr>
      <w:r>
        <w:t>Erwägungen</w:t>
      </w:r>
    </w:p>
    <w:p>
      <w:r>
        <w:rPr>
          <w:b/>
        </w:rPr>
        <w:t>E. 13</w:t>
      </w:r>
    </w:p>
    <w:p>
      <w:r>
        <w:t>mars 2021, alors qu’il n’a pas été en mesure de dire ce qu’il avait fait la nuit précédente (PV d’audition n° 6, R. 7 : « j’ai un blanc »). Enfin, il faut également constater que ces deux témoins, pourtant très proches de l’appelant, ont affirmé que ce dernier n’avait aucun problème de consommation d’alcool, alors que celui-ci a été soigné pour alcoolisme et a suivi un traitement aversif, sans compter les éléments résultant de l’expertise psychiatrique. De telles affirmations constituent un élément supplémentaire pour douter de la fiabilité de ces témoignages, lesquels doivent, en définitive, être écartés. 3.6 Au regard des éléments précités, il y a lieu de privilégier les déclarations concordantes des deux enfants plutôt que celles de l’appelant, de sorte que la Cour de céans admet les faits tels que décrits dans l’acte d’accusation. Il faut dès lors retenir, en particulier, que l’appelant a exhibé ses parties intimes et exécuté des gestes masturbatoires devant ses enfants. Il a agi sciemment, voulant que ces derniers perçoivent ses gestes. Les éléments constitutifs de l’art.187 al. 1 ch. 3 CP sont ainsi réalisés, de sorte que la condamnation de R.________ pour actes d’ordre sexuel avec des enfants doit être confirmée.</w:t>
      </w:r>
    </w:p>
    <w:p>
      <w:r>
        <w:t>- 21 - 4. Invoquant l’art. 54 CP, l’appelant conclut à une exemption de peine. Subsidiairement, il requiert une peine plus clémente, assortie du sursis.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4.1.2 Aux termes de l'art. 42 al. 1 CP, le juge suspend en règle générale l'exécution d'une peine pécuniaire ou d'une peine privative de liberté de deux ans au plus lorsqu'une peine ferme ne paraît pas nécessaire pour détourner l'auteur d'autres crimes ou délits.</w:t>
      </w:r>
    </w:p>
    <w:p>
      <w:r>
        <w:t>- 22 -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4.2 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w:t>
      </w:r>
    </w:p>
    <w:p>
      <w:r>
        <w:t>- 23 - l'art. 54 CP est possible, mais ne doit être admise qu'avec retenue (TF 6B_979/2021 du 11 avril 2022 consid. 7.2.1 ; TF 6B_515/2019 du 11 juin 2019 consid. 3). Le juge doit prendre sa décision en analysant in concreto les circonstances du cas et il dispose d'un large pouvoir d'appréciation (TF 6B_979/2021 précité ; TF 6B_432/2021 du 21 février 2022 consid. 4.3.2). 4.3 Le premier juge a fixé la peine conformément à la culpabilité de l’appelant, qui doit effectivement être qualifiée de moyenne. Il peut être renvoyé à cet égard à la motivation du jugement attaqué (cf. jugement, pp. 30 et 31 ; art. 82 al. 4 CPP), qui est claire et convaincante, et qui tient compte de l’ensemble des critères fixés par l’art. 47 CP. Il faut par ailleurs relever que, même au stade de l’appel, R.________ refuse encore d’assumer pleinement ses responsabilités, même s’il reconnait certains faits et admet que son comportement est « problématique ». Sa prise de conscience reste ainsi très limitée, l’appelant persistant, en définitive, à prétendre que sa fille serait une menteuse, ce qu’elle n’est assurément pas. A décharge, le premier juge a tenu compte, à juste titre, d’une légère diminution de la responsabilité, d’un parcours de vie, en particulier sur le plan familial, extrêmement compliqué et, dans une certaine mesure, des souffrances exprimées par l’appelant d’être privé de la présence de ses enfants. Une peine privative de liberté doit sanctionner l’infraction commise et ce, pour des motifs de prévention spéciale, d’une part, en raison de l’absence de remise en question personnelle et, d’autre part, parce qu’aucune des peines pécuniaires prononcées jusqu’ici n’a eu le moindre effet en termes de prévention de la récidive, l’appelant présentant plusieurs antécédents, dont un en matière d’atteinte à l’intégrité sexuelle. De plus, l’appelant étant passablement démuni sur le plan financier, une peine pécuniaire serait de toute manière difficilement exécutable. Au vu de la culpabilité retenue ci-dessus, la peine privative de liberté prononcée en première instance, soit 5 mois, est adéquate et peut être confirmée.</w:t>
      </w:r>
    </w:p>
    <w:p>
      <w:r>
        <w:t>- 24 - Compte tenu des nombreux antécédents de l’appelant, de son absence réelle de prise de conscience et du risque moyen à élevé de récidive d’actes de même nature retenu par les experts, le pronostic est assurément défavorable, de sorte que la peine privative de liberté doit être ferme. 5. L’appelant conteste le traitement ambulatoire prononcé à son encontre. 5.1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w:t>
      </w:r>
    </w:p>
    <w:p>
      <w:r>
        <w:t>- 25 -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 5.2 Selon l’expertise psychiatrique, l’appelant souffre d’un retard mental léger et d’un syndrome de dépendance à l’alcool, abstinent au moment de l’évaluation, mais sous traitement aversif. On relève toutefois qu’actuellement, l’appelant n’est plus abstinent dès lors qu’il reconnait consommer de l’alcool durant les week-ends (cf. supra, p. 4). Le retard mental peut être considéré comme grave au regard du handicap global qu’il engendre dans la vie de l’intéressé. A dires d’experts, l’appelant présente plusieurs facteurs de risque de récidive : présence d’un antécédent de condamnation pour acte d’ordre sexuel, antécédent de condamnation avec violence non sexuelle, prononcés de peine antérieurs et une victime de sexe masculin, soit en l’occurrence son fils. Cette évaluation doit être majorée par des facteurs d’inquiétude, notamment le retard mental de l’appelant, son manque de capacité élaborative, le fait qu’il ne reconnaisse pas les faits et qu’il ne parvienne pas à se mettre à la place de ses enfants pour se représenter leur vécu, ainsi que son incapacité actuelle à se remettre en question au sujet de son comportement. Ainsi, selon les experts, le risque de récidive doit être considéré comme moyen à élevé et comprend des infractions de même nature que celles reprochées dans la présente cause.</w:t>
      </w:r>
    </w:p>
    <w:p>
      <w:r>
        <w:t>- 26 - En théorie, il n’existe aucun traitement pour le retard mental, cette pathologie étant constitutionnelle. En revanche, pour les experts, une psychothérapie à visée psychoéducative est nécessaire pour permettre à l’appelant d’apprendre quel comportement il doit adopter face à ses enfants, à mieux gérer ses pulsions sexuelles et à respecter les limites générationnelles, la pudeur et l’intimité d’autrui. Ils préconisent par conséquent un traitement ambulatoire, lequel n’apparait pas dénué de chances de succès en termes de réduction du risque de récidive, ce d’autant que l’appelant semble être prêt à s’y soumettre (cf. jgt, p. 11). Au regard de l’ensemble de ces éléments, toutes les conditions d’un traitement ambulatoire au sens de l’art. 63 CP sont réalisées, de sorte que cette mesure, prononcée par le premier juge, doit être confirmée. 6. L’appelant conteste l’interdiction à vie d’exercer toute activité professionnelle ou non professionnelle impliquant des contacts réguliers avec des mineurs. 6.1 6.1.1 En vertu de l'art. 67 al. 3 let. b CP, s'il a été prononcé contre l'auteur une peine ou une mesure prévue aux art. 59 à 61, 63 ou 64 CP, notamment pour des actes d'ordre sexuel avec des enfants (art. 187 CP), le juge lui interdit à vie l'exercice de toute activité professionnelle et de toute activité non professionnelle organisée impliquant des contacts réguliers avec des mineurs. L'art. 67 al. 4bis CP prévoit que, dans les cas de très peu de gravité, le juge peut exceptionnellement renoncer à prononcer une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w:t>
      </w:r>
    </w:p>
    <w:p>
      <w:r>
        <w:t>- 27 - prostitution (art. 195 CP) (let. a), ou s'il est pédophile conformément aux critères de classification internationalement reconnus (let. b). Selon l'art. 67a al. 5 CP, par activités impliquant des contacts réguliers avec des mineurs ou d'autres personnes particulièrement vulnérables, on entend : (let. a) les activités exercées spécifiquement en contact direct avec des mineurs ou d'autres personnes particulièrement vulnérables, telles que : (ch. 1) l'enseignement, (ch. 2) l'éducation et le conseil, (ch. 3) la prise en charge et la surveillance, (ch. 4) les soins, (ch. 5) les examens et traitements de nature physique, (ch. 6) les examens et traitements de nature psychologique, (ch. 7) la restauration, (ch. 8) les transports, (ch. 9)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et (let. b)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6.1.2 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(TF 6B_156/2023 du 3 avril 2023 consid. 2.5.1). La clause d'exception doit permettre d'éviter que le principe de proportionnalité ne soit violé de manière choquante, dans des cas de très peu de gravité où l'auteur n'est pas pédophile et ne risque pas de commettre à nouveau l'une des infractions sexuelles visées. Cette clause d'exception est conforme à l'objectif des auteurs de l'initiative populaire selon lesquels l'interdiction à vie d'exercer une activité visait les cas de</w:t>
      </w:r>
    </w:p>
    <w:p>
      <w:r>
        <w:t>- 28 - pédophilies et non les amours adolescentes. Comme le veut le principe d'égalité devant le droit, la clause d'exception s'appliquera aussi à des cas similaires, de très peu de gravité, s'ils remplissent les conditions, notamment s'ils ne relèvent pas de la pédophilie (TF 6B_156/2023 précité consid. 2.5.2). 6.1.3 Le Code pénal ne définit pas la notion de « cas de très peu de gravité » (TF 6B_156/2023 précité consid. 2.5.4, qui mentionne le « cas de peu de gravité » prévu à l’ancien art. 116 al. 2 LEI [loi fédérale sur les étrangers et l’intégration du</w:t>
      </w:r>
    </w:p>
    <w:p>
      <w:r>
        <w:rPr>
          <w:b/>
        </w:rPr>
        <w:t>E. 16</w:t>
      </w:r>
    </w:p>
    <w:p>
      <w:r>
        <w:t>décembre 2005 ; RS 142.20]). Selon le Message concernant la mise en œuvre de l'art. 123c Cst., ne seront pas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5948 ch. 2.1 ; TF 6B_156/2023 précité consid. 2.5.4 et les références citées.). Une interdiction ne paraît pas nécessaire (seconde condition de la clause d'exception)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w:t>
      </w:r>
    </w:p>
    <w:p>
      <w:r>
        <w:t>- 29 - du risque de récidive doit comprendre un examen aussi complet que possible de la personnalité de l'auteur, si nécessaire au moyen d'une expertise psychiatrique (FF 2016 5948 ch. 2.1 ; TF 6B_156/2023 précité consid. 2.5.5 et les références citées).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(TF 6B_156/2023 précité consid. 2.5.7, en référence notamment à l'ATF 144 IV 332 consid. 3.3 en lien avec l'art. 66a al. 2 CP). Il a dès lors considéré que le juge doit renoncer à prononcer l'interdiction lorsque les deux conditions cumulatives de l'art. 67 al. 4bis CP sont réalisées et qu'aucun cas prévu à l'art. 67 al. 4bis let. a et b CP (exceptions à l'exception) n'est donné (TF 6B_156/2023 précité consid. 2.5.7). 6.1.4 L'art. 8 CEDH consacre notamment le droit au respect de la vie privée et impose un examen de la proportionnalité pour toute restriction de ce droit. La jurisprudence et certains auteurs relèvent une possible incompatibilité entre le prononcé automatique de l'interdiction à vie d'exercer une activité et le principe de proportionnalité, ainsi que les engagements internationaux de la Suisse, en particulier sous l'angle de l'art. 8 CEDH (TF 6B_156/2023 précité consid. 2.5.2 et les références citées). Néanmoins, selon le Message concernant la mise en œuvre de l'art. 123c Cst., la clause d'exception (prévue à l'art. 67 al. 4bis CP) atténue quelque peu les conflits avec certains principes fondamentaux de l'état de droit et avec le droit international (FF 2016 5935, 5943, 5968, faisant état de la possibilité de réexaminer l'interdiction une fois un certain temps écoulé, contrairement à ce que prévoit l'art. 67c al. 6bis CP).</w:t>
      </w:r>
    </w:p>
    <w:p>
      <w:r>
        <w:t>- 30 - 6.2 Les agissements de l’appelant à l’encontre de ses enfants ne constituent pas un cas bagatelle. De plus, le risque de récidive d’actes de même nature est considéré comme moyen à élevé par les experts. Comme on l’a vu, il y a lieu d’ordonner un traitement ambulatoire. Les conditions fixées par l’art. 67 al. 3 let. b CP sont dès lors réalisées. Il n’existe aucun motif pour appliquer la clause d’exception, ce d’autant moins que, sous l’angle de la proportionnalité, l’appelant n’a jamais exercé d’activités professionnelles en lien avec des enfants et semble en mesure de retrouver un emploi dans le domaine de la construction. Partant, l’interdiction à vie d’exercer toute activité professionnelle et toute activité non professionnelle organisée impliquant des contacts réguliers avec des mineurs doit être confirmée. 7. En définitive, l’appel de R.________ doit être rejeté et le jugement entrepris confirmé. Me Julien Gafner, défenseur d’office de R.________, a produit une liste d’opérations dans laquelle il indique une activité nécessaire d’avocat de 10h33, soit 4h12 pour 2023 et 6h21 pour 2024, dont 3h06 ont été effectuées en 2023 par l’avocat-stagiaire, ce qui est adéquat. L’indemnité due sera dès lors fixée à 539 fr. ([3h06 x 110 fr.] + [1h06 x 180 fr.]), plus des débours forfaitaires, par 10 fr. 80, et la TVA à 7,7 %, par 42 fr. 35, soit à un total de 592 fr. 15 pour les opérations effectuées jusqu’au 31 décembre 2023, et à 1’143 fr. (6h21 x 180 fr.), plus une vacation, par 120 fr., les débours, par 22 fr. 85, et la TVA à 8,1 %, par 104 fr. 15, soit à un total de 1’390 fr. pour les opérations effectuées depuis le 1er janvier 2024. Au total, l’indemnité due sera donc fixée à 1'982 fr. 15, TVA et débours inclus. Me Emmeline Filliez-Bonnard, conseil juridique gratuit de B.A.________ et A.A.________, a produit une liste d’opérations dans laquelle elle indique une activité nécessaire d’avocat de 8h10, ce qui est adéquat sous réserve de la durée annoncée pour les débats d’appel, laquelle sera ramenée à 1h10. Ainsi, c’est une activité nécessaire d’avocat de 7h20, qui sera retenue, soit 3h00 pour 2023 et 4h20 pour 2024. L’indemnité de</w:t>
      </w:r>
    </w:p>
    <w:p>
      <w:r>
        <w:t>- 31 - défenseur d’office doit ainsi être fixée à 330 fr. (3h00 x 180 fr.), plus des débours forfaitaires, par 6 fr. 60, et la TVA à 7,7 %, par 27 fr. 25, soit à un total de 363 fr. 85 pour les opérations effectuées jusqu’au 31 décembre 2023, et à 780 fr. (4h20 x 180 fr.), plus une vacation à 120 fr., les débours, par 15 fr. 60, et la TVA à 8,1 %, par 74 fr. 15, soit à un total de 989 fr. 75 pour les opérations effectuées depuis le 1er janvier 2024. Au total, l’indemnité due sera donc fixée à 1'353 fr. 60, TVA et débours inclus. Vu l’issue de la cause, les frais de la procédure d’appel, constitués de l’émolument de jugement et d’audience, par 3’230 fr. (art.</w:t>
      </w:r>
    </w:p>
    <w:p>
      <w:r>
        <w:rPr>
          <w:b/>
        </w:rPr>
        <w:t>E. 21</w:t>
      </w:r>
    </w:p>
    <w:p>
      <w:r>
        <w:t>al. 1 et 2 TFIP [tarif des frais de procédure et indemnités en matière pénale du 28 septembre 2010 ; BLV 312.03.1]), et des indemnités dues au défenseur d’office et au conseil juridique gratuit, par 3'335 fr. 75, seront mis à la charge de R.________, qui succombe. R.________ sera tenu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