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PE21.009549 vom 14. Juli 2021</w:t>
      </w:r>
    </w:p>
    <w:p>
      <w:r>
        <w:t>VD Tribunal cantonal, 2021-07-14, FR</w:t>
      </w:r>
    </w:p>
    <w:p>
      <w:r>
        <w:rPr>
          <w:b/>
        </w:rPr>
        <w:t xml:space="preserve">Quelle: </w:t>
      </w:r>
      <w:r>
        <w:t>https://mcp.opencaselaw.ch/entscheid/vd_gerichte_PE21.009549</w:t>
      </w:r>
    </w:p>
    <w:p>
      <w:r>
        <w:t>FR: VD_GERICHTE PE21.009549 du 14 juillet 2021</w:t>
      </w:r>
    </w:p>
    <w:p>
      <w:r>
        <w:t>IT: VD_GERICHTE PE21.009549 del 14 luglio 2021</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 BLV 173.01]). En l’espèce, interjeté en temps utile devant l’autorité compétente, par la partie plaignante qui a qualité pour recourir (art. 382 al. 1 CPP) et dans les formes prescrites (art. 385 al. 1 CPP), le recours de A.H.________ au nom de sa fille mineure (art. 106 al. 2 CPP), est recevable.</w:t>
      </w:r>
    </w:p>
    <w:p>
      <w:r>
        <w:rPr>
          <w:b/>
        </w:rPr>
        <w:t>E. 1.1</w:t>
      </w:r>
    </w:p>
    <w:p>
      <w:r>
        <w:t>; ATF 134 IV 255 consid. 4.2.1 et les références citées).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qui dépasse les limites du risque admissible viole le devoir de prudence s'il apparaît qu'au moment des faits, son auteur aurait dû, compte tenu de ses connaissances et de ses capacités, se rendre compte de la mise en danger d'autrui (ATF 145 IV 154 consid. 2.1 ; ATF 136 IV 76 consid. 2.3.1).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En second lieu, la violation du devoir de prudence doit être fautive, c'est-à-dire qu'il faut pouvoir reprocher à l'auteur une inattention ou un manque d'effort blâmable (ATF 145 IV 154 consid. 2.1 ; 135 IV 56 consid. 2.1 ; ATF 134 IV 255 consid. 4.2.3 ; TF 6B_400/2020 du 20 janvier 2021 consid. 3.5.1). Une condamnation pour lésions corporelles par négligence suppose ensuite un lien de causalité naturelle et adéquate entre les lésions subies et la négligence imputée à l'auteur (ATF 138 IV 57 consid.4.1.3 ; ATF 133 IV 158 consid. 6.1 ; ATF 131 IV 145 consid. 5). En</w:t>
      </w:r>
    </w:p>
    <w:p>
      <w:r>
        <w:t>- 6 -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ATF 117 IV 130 consid. 2a).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 consid. 2.1 ; ATF 130 IV 7 consid. 3.2 ; cf. encore récemment : TF 6B_364/2020 du 26 juin 2020 consid. 6.1). La causalité adéquate est ainsi exclue lorsque l'acte attendu n'aurait vraisemblablement pas empêché la survenance du résultat ou lorsqu'il serait simplement possible qu'il l'eût empêché (TF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 ATF 134 IV 255 consid. 4.4.2 ; ATF 133 IV 158 consid. 6.1 et les références citées ; TF 6B_400/2020 précité consid. 3.5.2).</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w:t>
      </w:r>
    </w:p>
    <w:p>
      <w:r>
        <w:t>- 4 -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3.1</w:t>
      </w:r>
    </w:p>
    <w:p>
      <w:r>
        <w:t>L'art. 125 CP (Code pénal suisse du 21 décembre 1937 ; RS 311.0) réprime le comportement de celui qui, par négligence, aura causé une atteinte à l'intégrité corporelle ou à la santé d'une personne.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- 5 - Des lésions corporelles par négligence peuvent aussi être commises par le fait d'un comportement passif contraire à une obligation d'agir (art. 11 al. 1 CP).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w:t>
      </w:r>
    </w:p>
    <w:p>
      <w:r>
        <w:rPr>
          <w:b/>
        </w:rPr>
        <w:t>E. 3.3</w:t>
      </w:r>
    </w:p>
    <w:p>
      <w:r>
        <w:t>En l’espèce, le Ministère public a refusé d’entrer en matière sur la plainte de A.H.________ au motif que – même si une négligence fautive pouvait être reprochée à l’éducateur ayant remis les médicaments – le lien de causalité adéquate entre cette négligence et les lésions subies</w:t>
      </w:r>
    </w:p>
    <w:p>
      <w:r>
        <w:t>- 7 - par B.H.________ avait été rompu par le comportement imprévisible et imprudent de cette dernière. La recourante oppose que l’acte de sa fille ne pouvait être qualifié d’imprévisible et imprudent, eu égard à son atteinte psychique, son placement dans un établissement psychiatrique fermé et aux scarifications qu’elle s’inflige, dénotant des tendances suicidaires. Cette argumentation n’est pas dénuée de pertinence et – compte tenu de ces circonstances particulières – le Ministère public ne pouvait conclure, à ce stade, que le comportement d’B.H.________ était si exceptionnel que l’on ne pouvait s’y attendre. Au contraire, la directive interne du Foyer V.________, préconisant une remise des médicaments entre les éducateurs directement, tend à démontrer que les membres de la direction du foyer étaient conscients des risques qui pouvaient être encourus si ces substances étaient laissées entre les mains des adolescents placés. A cet égard, on notera toutefois qu’il n’a pas été formellement établi, en l’état du dossier, que le tentamen aurait été réalisé au moyen des médicaments subtilisés. Si tel devait être le cas, le Ministère public ne pouvait faire l’économie de l’examen de l’étendue du devoir de prudence des différents intervenants des foyers concernés d’une part, ainsi que, d’autre part, des risques concrets de passage à l’acte d’B.H.________, eu égard à sa situation personnelle et médicale. Ainsi, c’est à tort que le Ministère public a rendu une ordonnance de non-entrée en matière. Il lui incombera au contraire d’ouvrir une instruction pénale et de procéder à toutes les mesures d’investigation utiles dans le sens du considérant qui précède. Dans ce contexte, les faits devront être examinés à l’aune de l’art. 125 CP, mais également de toute autre disposition pertinente, soit notamment l’art. 219 CP qui sanctionne la violation du devoir d’assistance ou d’éducation.</w:t>
      </w:r>
    </w:p>
    <w:p>
      <w:r>
        <w:rPr>
          <w:b/>
        </w:rPr>
        <w:t>E. 4</w:t>
      </w:r>
    </w:p>
    <w:p>
      <w:r>
        <w:t>En définitive, le recours doit être admis, l’ordonnance contestée annulée et le dossier de la cause renvoyé au Ministère public de</w:t>
      </w:r>
    </w:p>
    <w:p>
      <w:r>
        <w:t>- 8 - l’arrondissement de Lausanne pour qu’il procède dans le sens des considérants. Les frais de la procédure de recours, constitués en l’espèce du seul émolument d’arrêt (art. 422 al. 1 CPP), par 880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750 fr. (2,5 heures à 300 fr.), auxquels il convient d’ajouter des débours forfaitaires à concurrence de 2 % (art. 19 al. 2 TDC [Tarif des dépens en matière civile du 23 novembre 2010 ; BLV 270.11.6], applicable par renvoi de l’art. 26a al. 6 TFIP), par 15 fr., plus un montant correspondant à la TVA, par 58 fr. 90, représentant un montant total arrondi à 824 francs. Elle sera laissée à la charge de l’Etat. Par ces motifs, la Chambre des recours pénale prononce : I. Le recours est admis. II. L’ordonnance du 4 juin 2021 est annulée. III. Le dossier de la cause est renvoyé au Ministère public de l’arrondissement de Lausanne pour qu’il procède dans le sens des considérants. IV. Les frais d’arrêt, par 880 fr. (huit cent huitante francs), sont laissés à la charge de l’Etat. V. Une indemnité de 824 fr. (huit cent vingt-quatre francs) est allouée à A.H.________ pour les dépenses occasionnées par</w:t>
      </w:r>
    </w:p>
    <w:p>
      <w:r>
        <w:t>- 9 - l’exercice raisonnable de ses droits pour la procédure de recours, à la charge de l’Etat. VI. L’arrêt est exécutoire. Le président : La greffière : Du Le présent arrêt, dont la rédaction a été approuvée à huis clos, est notifié, par l'envoi d'une copie complète, à : - Me Dominique Rigot (pour A.H.________), - Ministère public central ; et communiqué à : - Mme le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