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PE21.009463 vom 30. Mai 2022</w:t>
      </w:r>
    </w:p>
    <w:p>
      <w:r>
        <w:t>VD Tribunal cantonal, 2022-05-30, FR</w:t>
      </w:r>
    </w:p>
    <w:p>
      <w:r>
        <w:rPr>
          <w:b/>
        </w:rPr>
        <w:t xml:space="preserve">Quelle: </w:t>
      </w:r>
      <w:r>
        <w:t>https://mcp.opencaselaw.ch/entscheid/vd_gerichte_PE21.009463</w:t>
      </w:r>
    </w:p>
    <w:p>
      <w:r>
        <w:t>FR: VD_GERICHTE PE21.009463 du 30 mai 2022</w:t>
      </w:r>
    </w:p>
    <w:p>
      <w:r>
        <w:t>IT: VD_GERICHTE PE21.009463 del 30 maggio 2022</w:t>
      </w:r>
    </w:p>
    <w:p>
      <w:pPr>
        <w:pStyle w:val="Heading2"/>
      </w:pPr>
      <w:r>
        <w:t>Erwägungen</w:t>
      </w:r>
    </w:p>
    <w:p>
      <w:r>
        <w:rPr>
          <w:b/>
        </w:rPr>
        <w:t>E. 1.1</w:t>
      </w:r>
    </w:p>
    <w:p>
      <w:r>
        <w:t>Aux termes de l’art. 395 let. b CPP (Code de procédure pénale suisse du 5 octobre 2007 ; RS 312.0), si l’autorité de recours est un tribunal collégial – ce qui est le cas de la Chambre des recours pénale, laquelle statue à trois juges (art. 67 al. 1 let. i LOJV [loi vaudoise d’organisation judiciaire du 12 décembre 1979 ; BLV 173.01]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juge de la Chambre des recours pénale est compétent pour statuer en tant que juge unique (art. 13 al. 2 LVCPP [loi vaudoise d’introduction du Code de procédure pénale suisse du 19 mai 2009 ; BLV 312.01]). Le recourant fait valoir qu’il lui est difficile d’assumer les frais de l’ordonnance de classement qui s’élèvent à 3'650 francs. Dès lors que son grief porte sur les conséquences économiques accessoires d’une décision d’un montant inférieur à 5'000 fr., le recours relève de la compétence du juge unique de la Chambre des recours pénale (CREP 15 octobre 2021/745 ; CREP 18 février 2021/140).</w:t>
      </w:r>
    </w:p>
    <w:p>
      <w:r>
        <w:rPr>
          <w:b/>
        </w:rPr>
        <w:t>E. 1.2</w:t>
      </w:r>
    </w:p>
    <w:p>
      <w:r>
        <w:t>Le recours a par ailleurs été interjeté en temps utile (art. 396 al. 1 CPP), contre une décision du Ministère public (art. 393 al. 1 let. a CPP), par une partie qui a qualité pour recourir (art. 382 al. 1 CPP).</w:t>
      </w:r>
    </w:p>
    <w:p>
      <w:r>
        <w:rPr>
          <w:b/>
        </w:rPr>
        <w:t>E. 2</w:t>
      </w:r>
    </w:p>
    <w:p>
      <w:r>
        <w:t>- 4 -</w:t>
      </w:r>
    </w:p>
    <w:p>
      <w:r>
        <w:rPr>
          <w:b/>
        </w:rPr>
        <w:t>E. 2.1</w:t>
      </w:r>
    </w:p>
    <w:p>
      <w:r>
        <w:t>Selon l’art. 393 al. 2 CPP, le recours peut être formé pour les motifs suivants : violation du droit, y compris l’excès et l’abus du pouvoir d’appréciation, le déni de justice et le retard injustifié (let. a), constatation incomplète ou erronée des faits (let. b) ou inopportunité (let. c).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références ; Lieber,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 Selon l'art. 385 al. 2 CPP, si le mémoire ne satisfait pas à ces exigences, l'autorité de recours le renvoie au recourant afin que ce dernier le complète dans un bref délai. Si, après l'expiration de ce délai supplémentaire, le mémoire ne satisfait toujours pas à ces exigences,</w:t>
      </w:r>
    </w:p>
    <w:p>
      <w:r>
        <w:t>- 5 - l'autorité de recours n'entre pas en matière. Cette disposition ne permet pas de remédier un défaut de motivation dans le mémoire en question (TF 6B_705/2019 du 5 septembre 2019 consid. 3.2.2).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(TF 1B_510/2020 du 15 septembre 2020 consid.</w:t>
      </w:r>
    </w:p>
    <w:p>
      <w:r>
        <w:rPr>
          <w:b/>
        </w:rPr>
        <w:t>E. 2.2</w:t>
      </w:r>
    </w:p>
    <w:p>
      <w:r>
        <w:t>En l’espèce, à supposer que l’acte d’Y.________ soit un recours, celui-ci se contente d’évoquer sa situation financière précaire. Il ne se détermine donc pas sur les motifs exposés par la Procureure, à savoir que c’est par son comportement illicite et fautif qu’une action pénale a été ouverte contre lui. En d’autres termes, le recourant n’indique ni les points de la décision qu’il attaque, soit la formulation que devrait avoir la nouvelle décision, ni les motifs qui commandent une autre décision, soit dans quelle mesure il critique l’établissement des faits ou l’application du droit. Les conditions posées par les art. 385 al. 1 et 393 al. 2 CPP ne sont donc manifestement pas remplies. Le recours doit par conséquent être déclaré irrecevable.</w:t>
      </w:r>
    </w:p>
    <w:p>
      <w:r>
        <w:rPr>
          <w:b/>
        </w:rPr>
        <w:t>E. 3.1</w:t>
      </w:r>
    </w:p>
    <w:p>
      <w:r>
        <w:t>Le recourant soutient qu’il est au chômage, que seule sa femme subvient actuellement aux besoins du couple et qu’il lui sera difficile d’assumer les frais de procédure par 3'650 francs.</w:t>
      </w:r>
    </w:p>
    <w:p>
      <w:r>
        <w:rPr>
          <w:b/>
        </w:rPr>
        <w:t>E. 3.2</w:t>
      </w:r>
    </w:p>
    <w:p>
      <w:r>
        <w:t>Aux termes de l’art. 425 CPP,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(Domeisen, Basler Kommentar, 2e éd., Bâle 2014, n. 2 ad art. 425 CPP ;</w:t>
      </w:r>
    </w:p>
    <w:p>
      <w:r>
        <w:t>- 6 - Griesser, Kommentar zur Schweizerischen Strafprozessordnung, 3e éd., 2014, n. 1 ad art. 425 CPP). La compétence de rendre une décision judiciaire ultérieure (cf. art. 363 ss CPP) de réduire ou de remettre les frais compte tenu de la situation financière de la partie concernée appartient à l’autorité pénale qui a statué (TPF SK.2020.14 du 19 novembre 2020 consid. 1.2 ; TPF SK.2017.32 du 22 janvier 2018 consid. 1 ; TPF SK.2017.5 du 2 mai 2017 consid. 5 ; Fontana, Commentaire romand, Code de procédure pénale suisse, 2e éd., Bâle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(Roten/Perrin, Commentaire romand, Code de procédure pénale suisse, 2e éd., Bâle 2019, n. 27b et 28 ad art. 364 CPP et les références). Formulé comme une norme potestative, l’art. 425 CPP laisse aux autorités pénales une large marge d’appréciation (TF 6B_262/2019 du 1er avril 2019 et les références). L’autorité pénale peut décider de réduire ou de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(TF 6B_262/2019 et 6B_263/2019 du 1er avril 2019 consid. 3 ; CREP 22 novembre 2019/941 consid. 2.2 ; arrêt TC FR 502 2018 276-277 du 15 janvier 2019 ; Fontana, op. cit., nn. 1 et 2 ad art. 425 CPP). Selon la jurisprudence du Tribunal pénal fédéral, une remise des frais de procédure au sens de l’art. 425 CPP ne peut pas être accordée lorsque le recourant ne fait valoir aucun fait nouveau depuis le prononcé du jugement ou de l’arrêt entré en force (TPF SK.2020.14 précité consid. 1.4 et la référence).</w:t>
      </w:r>
    </w:p>
    <w:p>
      <w:r>
        <w:rPr>
          <w:b/>
        </w:rPr>
        <w:t>E. 3.3</w:t>
      </w:r>
    </w:p>
    <w:p>
      <w:r>
        <w:t>En l'espèce, l’écriture d’Y.________ doit en réalité être considérée comme une demande de sursis, de réduction ou de remise des</w:t>
      </w:r>
    </w:p>
    <w:p>
      <w:r>
        <w:t>- 7 - frais au sens de l'art. 425 CPP, puisqu’il ne conteste ni la mise des frais à sa charge ni leur quotité, mais indique seulement qu’il lui sera difficile de les assumer. Or cette demande relève de la compétence de l'autorité qui a statué sur les frais en première instance, soit le Ministère public. Il convient donc de renvoyer le dossier et le courrier d’Y.________ à cette autorité pour qu'elle rende une décision conformément à l'art. 363 al. 2 CPP.</w:t>
      </w:r>
    </w:p>
    <w:p>
      <w:r>
        <w:rPr>
          <w:b/>
        </w:rPr>
        <w:t>E. 4</w:t>
      </w:r>
    </w:p>
    <w:p>
      <w:r>
        <w:t>Au vu de ce qui précède, l'acte déposé par Y.________ en tant qu'il vaut recours contre l'ordonnance de classement du 2 mars 2022 doit être déclaré irrecevable et l'acte déposé par Y.________ en tant qu'il vaut demande de sursis, réduction ou remise des frais au sens de l'art. 425 CPP doit être transmis au Ministère public comme objet de sa compétence pour qu'il procède dans le sens des considérants. Les frais de la procédure de recours, par 770 fr. (art. 20 al. 1 TFIP [tarif des frais de procédure et indemnités en matière pénale du 28 septembre 2010 ; BLV 312.03.1]), seront exceptionnellement laissés à la charge de l'Etat. Par ces motifs, la juge unique prononce : I. L'acte déposé par Y.________ est irrecevable en tant qu'il vaut recours contre l'ordonnance de classement du 2 mars 2022. II. L'acte déposé par Y.________ est irrecevable en tant qu'il vaut demande de remise des frais au sens de l'art. 425 CPP. III. Le dossier de la cause est renvoyé au Ministère public de l’arrondissement de Lausanne en tant qu’objet de sa compétence. IV. Les frais d’arrêt, par 770 fr. (sept cent septante francs), sont laissés à la charge de l’Etat.</w:t>
      </w:r>
    </w:p>
    <w:p>
      <w:r>
        <w:t>- 8 - V. L’arrêt est exécutoire. La juge unique : La greffière : Du Le présent arrêt, dont la rédaction a été approuvée à huis clos, est notifié, par l'envoi d'une copie complète, à : - M. Y.________,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