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PE21.009441 vom 21. November 2023</w:t>
      </w:r>
    </w:p>
    <w:p>
      <w:r>
        <w:t>VD Tribunal cantonal, 2023-11-21, FR</w:t>
      </w:r>
    </w:p>
    <w:p>
      <w:r>
        <w:rPr>
          <w:b/>
        </w:rPr>
        <w:t xml:space="preserve">Quelle: </w:t>
      </w:r>
      <w:r>
        <w:t>https://mcp.opencaselaw.ch/entscheid/vd_gerichte_PE21.009441</w:t>
      </w:r>
    </w:p>
    <w:p>
      <w:r>
        <w:t>FR: VD_GERICHTE PE21.009441 du 21 novembre 2023</w:t>
      </w:r>
    </w:p>
    <w:p>
      <w:r>
        <w:t>IT: VD_GERICHTE PE21.009441 del 21 novembre 2023</w:t>
      </w:r>
    </w:p>
    <w:p>
      <w:pPr>
        <w:pStyle w:val="Heading2"/>
      </w:pPr>
      <w:r>
        <w:t>Erwägungen</w:t>
      </w:r>
    </w:p>
    <w:p>
      <w:r>
        <w:rPr>
          <w:b/>
        </w:rPr>
        <w:t>E. 8</w:t>
      </w:r>
    </w:p>
    <w:p>
      <w:r>
        <w:t>Le maintien en détention pour des motifs de sûreté de B.________ doit être maintenu pour garantir l’exécution de la peine.</w:t>
      </w:r>
    </w:p>
    <w:p>
      <w:r>
        <w:rPr>
          <w:b/>
        </w:rPr>
        <w:t>E. 9</w:t>
      </w:r>
    </w:p>
    <w:p>
      <w:r>
        <w:t>Au vu de ce qui précède, l’appel de B.________ doit être rejeté et le jugement entrepris entièrement confirmé. Me Jérôme Campart, défenseur d’office de B.________, a produit une liste d’opérations dont il ressort un temps total de 26h06 d’activité d’avocat breveté, ainsi que trois vacations, dont il n’y a pas lieu de s’écarter de la durée alléguée. Au tarif horaire de 180 fr. (art. 2 al. 1 let. a RAJ [règlement sur l’assistance judiciaire en matière civile du 7 décembre</w:t>
      </w:r>
    </w:p>
    <w:p>
      <w:r>
        <w:t>- 39 - 2010 ; BLV 211.02.3] par renvoi de l’art. 26b TFIP), le défraiement s’élève à 4’698 fr. (26h06 x 180 fr.), auquel il convient d’ajouter 2 % pour les débours (art. 3bis al. 1 RAJ par renvoi de l’art. 26b TFIP [tarif des frais de procédure et indemnités en matière pénale du 28 septembre 2010 ; BLV 312.03.1]), soit 94 fr., trois vacations à 120 fr. et la TVA à 8,1 %, par 417 fr. 30, soit un total de 5’569 fr. 30. Aux débats d’appel, Me Alain Dubuis, conseil de choix de la plaignante, a produit une liste d’opérations dont il ressort un temps total de 11h30 d’activité d’avocat breveté, au tarif horaire de 400 francs. Compte tenu de la nature de la cause, il n’y a pas lieu de s’écarter du temps ainsi allégué, le tarif horaire devant toutefois être réduit à 300 francs. L’indemnité versée à E.________ pour la procédure d’appel sera par conséquent fixée à 3’450 fr. (11h30 x 300 fr.), plus des débours forfaitaires à concurrence de 2 % (art. 3bis al. 1 RAJ applicable par renvoi de l’art. 26b TFIP), par 69 fr., et la TVA à 8,1 %, par 284 fr. 05, soit à un total de 3’804 fr. 05, au titre de l’art. 433 CPP pour la procédure d’appel, à la charge de l’appelant. Vu l’issue de la cause, les frais de la procédure d’appel, par 9’349 fr. 30, constitués en l’espèce de l’émolument de jugement et d’audience, par 3’780 fr. (cf. art. 21 al. 1 et 2 TFIP [Tarif des frais de procédure et indemnités en matière pénale du 28 septembre 2010 ; BLV 312.03.1]), ainsi que de l’indemnité allouée au défenseur d’office de B.________, par 5’569 fr. 30, seront mis à la charge de ce dernier. L’appelant sera tenu de rembourser à l’Etat l’indemnité allouée à son défenseur d’office dès que sa situation financière le permettra (art. 135 al. 4 CPP).</w:t>
      </w:r>
    </w:p>
    <w:p>
      <w:r>
        <w:t>- 40 -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