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PE21.009326 vom 24. August 2021</w:t>
      </w:r>
    </w:p>
    <w:p>
      <w:r>
        <w:t>VD Tribunal cantonal, 2021-08-24, FR</w:t>
      </w:r>
    </w:p>
    <w:p>
      <w:r>
        <w:rPr>
          <w:b/>
        </w:rPr>
        <w:t xml:space="preserve">Quelle: </w:t>
      </w:r>
      <w:r>
        <w:t>https://mcp.opencaselaw.ch/entscheid/vd_gerichte_PE21.009326</w:t>
      </w:r>
    </w:p>
    <w:p>
      <w:r>
        <w:t>FR: VD_GERICHTE PE21.009326 du 24 août 2021</w:t>
      </w:r>
    </w:p>
    <w:p>
      <w:r>
        <w:t>IT: VD_GERICHTE PE21.009326 del 24 agosto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le plaignant qui a qualité pour recourir (art. 382 al. 1 CPP) et dans les formes prescrites (art. 385 al. 1 CPP), le recours est recevable.</w:t>
      </w:r>
    </w:p>
    <w:p>
      <w:r>
        <w:rPr>
          <w:b/>
        </w:rPr>
        <w:t>E. 2</w:t>
      </w:r>
    </w:p>
    <w:p>
      <w:r>
        <w:t>En se référant à l’art. 85 CPP, le recourant se plaint tout d’abord d’une « absence de notification régulière » de l’ordonnance du 25 juin 2021, en « violation du principe de la bonne foi ». Or, outre le fait qu’il n’explique pas en quoi la décision litigieuse lui aurait été notifiée de manière irrégulière, on ne saisit pas son argument dans la mesure où il a pu faire usage des voies de droit ouvertes contre celle-ci. Le grief est infondé.</w:t>
      </w:r>
    </w:p>
    <w:p>
      <w:r>
        <w:rPr>
          <w:b/>
        </w:rPr>
        <w:t>E. 3</w:t>
      </w:r>
    </w:p>
    <w:p>
      <w:r>
        <w:t>Le recourant fait valoir ensuite que le procureur aurait tardé à statuer. Tel n’est manifestement pas le cas. En effet, après avoir demandé aux EPO le dossier du condamné le 27 mai 2021 – reçu le 4 juin 2021 – ainsi que les exemplaires de deux directives internes le 4 juin 2021 – reçues le 14 juin 2021 –, c’est au contraire à bref délai que le procureur a rendu l’ordonnance de non-entrée en matière le 25 juin 2021. Le grief est infondé.</w:t>
      </w:r>
    </w:p>
    <w:p>
      <w:r>
        <w:rPr>
          <w:b/>
        </w:rPr>
        <w:t>E. 4.1</w:t>
      </w:r>
    </w:p>
    <w:p>
      <w:r>
        <w:t>Le recourant soutient que la prise d’urine aurait été trafiquée par une concertation criminelle ayant pour but de le condamner à une sanction, qui serait en réalité une vengeance personnelle menée par quelques notables officiant dans les rangs de la police et de la magistrature, très proches d’un pouvoir financier qui semblerait lui en vouloir.</w:t>
      </w:r>
    </w:p>
    <w:p>
      <w:r>
        <w:rPr>
          <w:b/>
        </w:rPr>
        <w:t>E. 4.2</w:t>
      </w:r>
    </w:p>
    <w:p>
      <w:r>
        <w:t>- 5 -</w:t>
      </w:r>
    </w:p>
    <w:p>
      <w:r>
        <w:rPr>
          <w:b/>
        </w:rPr>
        <w:t>E. 4.2.1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4.2.2</w:t>
      </w:r>
    </w:p>
    <w:p>
      <w:r>
        <w:t>Aux termes de l’art. 91 al. 3 CP (Code pénal suisse du 21 décembre 1937 ; RS 311.0),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le siège de la matière se trouve dans le RSPC, complété par le règlement sur le droit disciplinaire applicable aux personnes détenues avant jugement et condamnées du 30 octobre 2019 (RDD ; BLV 340.07.1).</w:t>
      </w:r>
    </w:p>
    <w:p>
      <w:r>
        <w:t>- 6 - Selon l’art. 20 RSPC, il est interdit aux personnes condamnées de consommer de l'alcool, des dérivés de cannabis contenant du cannabidiol, des produits stupéfiants ainsi que des médicaments ou des substances psychotropes non prescrits par le service médical de l'établissement. En vertu de l’art. 105 RSPC, en vue notamment de détecter l'absorption de substances prohibées ou dangereuses pour la santé, la direction de l'établissement peut ordonner aux personnes condamnées de se soumettre à des examens d'urine, de salive, de sang, des tests éthylométriques, ainsi qu'à tout autre examen nécessaire (al. 2). Le contrôle et la méthode utilisés doivent respecter le principe de la proportionnalité ainsi que la dignité humaine (al. 3). Selon l’art. 108 RSPC, lorsque la personne condamnée conteste le résultat d'un examen effectué conformément à l'art. 105 al. 2 RSPC, une contre-expertise est ordonnée (al. 1). Si le résultat de la contre- expertise confirme celui de la première analyse, le coût de cette dernière ainsi que celui de la contre-expertise sont facturés à la personne condamnée (al. 2).</w:t>
      </w:r>
    </w:p>
    <w:p>
      <w:r>
        <w:rPr>
          <w:b/>
        </w:rPr>
        <w:t>E. 4.3</w:t>
      </w:r>
    </w:p>
    <w:p>
      <w:r>
        <w:t>On relèvera tout d’abord que le grief du recourant selon lequel son urine aurait été trafiquée fait l’objet d’un recours de l’intéressé à l’encontre de la décision de sanction disciplinaire rendue en date du 5 mai 2021 pour consommation de produits prohibés et n’est donc pas l’objet de la présente procédure (P. 6/1 et 6/4). Dans le cas particulier, le prélèvement d’urine fait partie des contrôles usuels qui peuvent être ordonnés en tout temps par la direction des EPO ou les cadres cellulaires et est ainsi conforme au droit en vigueur. Avant le 13 avril 2021, le recourant s’était d’ailleurs déjà soumis deux fois à des tests toxicologiques et éthylométriques – qui s’étaient révélés négatifs (P. 6/4, p. 3) – sans rien trouver à y redire. Le fait que les deux agents de détention lui aient signalé qu’il devait se soumettre à la prise</w:t>
      </w:r>
    </w:p>
    <w:p>
      <w:r>
        <w:t>- 7 - urinaire sous peine de sanction ne constitue pas un moyen de contrainte illicite, puisque l’insoumission à l’injonction pouvait effectivement faire l’objet d’une sanction disciplinaire pour refus d’obtempérer. En outre, les agents de détention ont respecté la procédure de la directive interne no 22 des EPO et le processus a été effectué dans le respect du principe de la proportionnalité et de la dignité humaine, ce dont le recourant ne se plaint pas. Vu ces considérations, la requête du condamné tendant faire visionner des enregistrements de caméras de surveillance et auditionner des témoins, dont il ne donne même pas les noms, n’apportera aucun élément susceptible de démontrer qu’il serait nécessaire de clarifier l’état de fait, lequel ne souffre d’aucune ambiguïté. En définitive, dès lors qu’aucune infraction pénale ne saurait être imputée à aucun des deux agents de détention des EPO, c’est à juste titre que le Ministère public a rendu une ordonnance de non-entrée en matière.</w:t>
      </w:r>
    </w:p>
    <w:p>
      <w:r>
        <w:rPr>
          <w:b/>
        </w:rPr>
        <w:t>E. 5</w:t>
      </w:r>
    </w:p>
    <w:p>
      <w:r>
        <w:t>Il résulte de ce qui précède que le recours, manifestement mal fondé, doit être rejeté sans échange d’écritures (art. 390 al. 2 CPP) et l’ordonnance entreprise confirmée.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juin 2021 est confirmée. III. Les frais d’arrêt, par 660 fr. (six cent soixante francs), sont mis à la charge de X.________.</w:t>
      </w:r>
    </w:p>
    <w:p>
      <w:r>
        <w:t>- 8 - IV. L’arrêt est exécutoire. La vice-présidente : La greffière : Du Le présent arrêt, dont la rédaction a été approuvée à huis clos, est notifié, par l'envoi d'une copie complète, à : - M. X.________, - Ministère public central, et communiqué à : - M. le Procureur du Ministère public central, Division affaires spéciales, - Etablissements de la plaine de l’Orbe, - M. François Danthe, Procureur général adjoint (réf. PE21.008437-FDA),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