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PE21.009226 vom 11. April 2025</w:t>
      </w:r>
    </w:p>
    <w:p>
      <w:r>
        <w:t>VD Tribunal cantonal, 2025-04-11, FR</w:t>
      </w:r>
    </w:p>
    <w:p>
      <w:r>
        <w:rPr>
          <w:b/>
        </w:rPr>
        <w:t xml:space="preserve">Quelle: </w:t>
      </w:r>
      <w:r>
        <w:t>https://mcp.opencaselaw.ch/entscheid/vd_gerichte_PE21.009226</w:t>
      </w:r>
    </w:p>
    <w:p>
      <w:r>
        <w:t>FR: VD_GERICHTE PE21.009226 du 11 avril 2025</w:t>
      </w:r>
    </w:p>
    <w:p>
      <w:r>
        <w:t>IT: VD_GERICHTE PE21.009226 del 11 aprile 2025</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(art. 356 al. 3 et 4 CPP) est ainsi susceptible de recours selon les art. 393 ss CPP (cf. notamment CREP 18 novembre 2024/783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si l’on prend, comme point de départ le plus favorable, la notification du jugement à Me Dan Bally le 26 février 2025, le délai de recours arrivait à échéance 10 jours plus tard, soit le 8 mars 2025, reporté au lundi 10 mars 2025 – premier jour utile – le 8 mars 2025 étant un samedi (art. 90 al. 2 CPP). Déposé le 12 mars 2025, le recours de X.________ est donc tardif.</w:t>
      </w:r>
    </w:p>
    <w:p>
      <w:r>
        <w:rPr>
          <w:b/>
        </w:rPr>
        <w:t>E. 2.1</w:t>
      </w:r>
    </w:p>
    <w:p>
      <w:r>
        <w:t>Cela étant, il convient d’examiner si la bonne foi commande de considérer le délai comme étant tout de même respecté en raison de</w:t>
      </w:r>
    </w:p>
    <w:p>
      <w:r>
        <w:t>- 6 - l’indication erronée de la voie de droit par l’autorité ayant rendu la décision.</w:t>
      </w:r>
    </w:p>
    <w:p>
      <w:r>
        <w:rPr>
          <w:b/>
        </w:rPr>
        <w:t>E. 2.2.1</w:t>
      </w:r>
    </w:p>
    <w:p>
      <w:r>
        <w:t>La pratique a déduit du principe de la bonne foi consacré à l'art. 5 al. 3 Cst. (Constitution fédérale de la Confédération suisse du 18 avril 1999 ; RS 101), qui concerne, en procédure pénale, non seulement les autorités mais, le cas échéant, les différentes parties, y compris le prévenu (cf. art. 3 al. 2 let. a CPP ; ATF 147 IV 274 consid. 1.10.1), que les parties ne devaient subir aucun préjudice en raison d'une indication inexacte des voies de droit (ATF 138 I 49 consid. 8.3.2 et les arrêts cités). Seul peut toutefois bénéficier de la protection de la bonne foi celui qui ne pouvait pas constater l'inexactitude de la voie de droit indiquée, même avec la diligence qu'on pouvait attendre de lui. Tel n'est pas le cas de la partie qui s'est aperçue de l'erreur ou aurait dû s'en apercevoir en prêtant l'attention commandée par les circonstances, étant précisé que seule une négligence procédurale grossière peut faire échec à la protection de la bonne foi. Déterminer si la négligence commise est grossière s’apprécie selon les circonstances concrètes et les connaissances juridiques de la personne en cause (TF 4A_516/2023 du 8 octobre 2024 consid. 5.2 ; TF 1B_626/2022 du 21 février 2023 consid. 2.2). Les exigences envers les avocats sont naturellement plus élevées : on attend dans tous les cas de ces derniers qu’ils procèdent à un contrôle sommaire (« Grobkontrolle ») des indications sur la voie de droit (ATF 138 I 49 précité et les références citées ; TF 4A_516/2023 précité).</w:t>
      </w:r>
    </w:p>
    <w:p>
      <w:r>
        <w:rPr>
          <w:b/>
        </w:rPr>
        <w:t>E. 2.2.2</w:t>
      </w:r>
    </w:p>
    <w:p>
      <w:r>
        <w:t>De jurisprudence constante de la Chambre des recours pénale, la décision par laquelle le tribunal de première instance prend acte du retrait de l’opposition (art. 356 al. 4 CPP) est une décision contre laquelle seul le recours est ouvert (cf. notamment CREP 18 novembre 2024/783 ; JdT 2015 III 108). Cette conclusion se déduit aussi de la lecture a contrario de l’art. 398 al. 1 CPP qui prévoit notamment que l’appel est ouvert contre les jugements des tribunaux de première instance qui ont clos tout ou partie</w:t>
      </w:r>
    </w:p>
    <w:p>
      <w:r>
        <w:t>- 7 - de la procédure, soit des jugements qui tranchent des questions de droit matériel, telles que des décisions d’acquittement ou de condamnation (Moreillon et al., Petit commentaire, Code de procédure pénale, 2e éd., Bâle 2016, n. 2 ad art. 398 al. 1 CPP).</w:t>
      </w:r>
    </w:p>
    <w:p>
      <w:r>
        <w:rPr>
          <w:b/>
        </w:rPr>
        <w:t>E. 2.3</w:t>
      </w:r>
    </w:p>
    <w:p>
      <w:r>
        <w:t>En l’occurrence, la décision entreprise – intitulée par erreur jugement – indique qu’elle peut être contestée par la voie de l’appel, alors que seule la voie du recours est ouverte conformément à l’art. 393 al. 1 let. b CPP et à la jurisprudence constante en la matière (cf. consid. 2.2.2 supra). Le recourant était assisté depuis le début de la procédure par un avocat, lequel a participé à toutes les audiences fixées par le tribunal. Il était par ailleurs toujours consulté au moment du dépôt de la déclaration d’appel, puis du recours, puisque le recourant a indiqué dans celui-ci que tout courrier ultérieur devait être adressé à son défenseur. Devant un dispositif qui prenait acte du retrait de l’opposition, l’avocat du recourant ne pouvait pas se dispenser de vérifier la voie de droit, nonobstant l’indication erronée de celle-ci, ce d’autant plus que le recourant semblait avoir payé sa dette et que la question du retrait de plainte se posait. L’homme de loi ne pouvait pas non plus ignorer que la voie pour contester une ordonnance pénale était exclusivement celle de l’opposition et qu’une fois celle-ci retirée, son client se trouverait dans la même situation que s’il n’avait pas fait opposition, autrement dit sans appel possible. En conséquence, les erreurs du mandataire de X.________ doivent être imputées à ce dernier, ce qui rend son recours tardif, et partant, irrecevable.</w:t>
      </w:r>
    </w:p>
    <w:p>
      <w:r>
        <w:rPr>
          <w:b/>
        </w:rPr>
        <w:t>E. 2.4</w:t>
      </w:r>
    </w:p>
    <w:p>
      <w:r>
        <w:t>A supposer que le recours de X.________ ait été déposé dans les temps, il aurait de toute manière été déclaré irrecevable au sens de l’art. 385 al. 1 CPP et de la jurisprudence y relative (cf. TF 7B_587/2023 du 11 septembre 2024 consid. 2.2.1 et les références citées), dès lors que le recourant conteste le fond de l’affaire et sa condamnation et non le fait que le tribunal ait considéré son opposition comme retirée. Il en va de même de la déclaration d’appel, déposée elle dans le délai de 10 jours</w:t>
      </w:r>
    </w:p>
    <w:p>
      <w:r>
        <w:t>- 8 - après la notification du dispositif – le dispositif a été notifié à Me Dan Bally le 8 février 2025 et sa déclaration d’appel a été déposée le 14 février 2025 –, laquelle n’est pas du tout motivée, et ne peut, à l’évidence, pas être corrigée au sens de l’art. 385 al. 2 CPP.</w:t>
      </w:r>
    </w:p>
    <w:p>
      <w:r>
        <w:rPr>
          <w:b/>
        </w:rPr>
        <w:t>E. 3</w:t>
      </w:r>
    </w:p>
    <w:p>
      <w:r>
        <w:t>Il résulte de ce qui précède que le recours de X.________ doit être déclaré irrecevable, sans échange d’écritures (art. 390 al. 2 CPP). Les frais de la procédure de recours, constitués en l’espèce du seul émolument d’arrêt, par 880 fr. (art. 20 al. 1 TFIP [tarif des frais de procédure et indemnités en matière pénale du 28 septembre 2010 ; BLV 312.03.1]), seront mis à la charge du recourant, qui est réputé avoir succombé (art. 428 al. 1, 2e phrase CPP). Par ces motifs, la Chambre des recours pénale prononce : I. Le recours est irrecevable. II. Les frais d’arrêt, par 880 fr. (huit cent huitante francs), sont mis à la charge de X.________. III. L’arrêt est exécutoire. Le président : La greffière : Du Le présent arrêt, dont la rédaction a été approuvée à huis clos, est notifié, par l'envoi d'une copie complète, à : - Me Dan Bally (pour X.________), - Ministère public central,</w:t>
      </w:r>
    </w:p>
    <w:p>
      <w:r>
        <w:t>- 9 - et communiqué à : - M. le Président du Tribunal de police de l’arrondissement de Lausanne, - M. le Procureur de l’arrondissement de Lausanne, -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