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PE21.009182 vom 8. September 2021</w:t>
      </w:r>
    </w:p>
    <w:p>
      <w:r>
        <w:t>VD Tribunal cantonal, 2021-09-08, FR</w:t>
      </w:r>
    </w:p>
    <w:p>
      <w:r>
        <w:rPr>
          <w:b/>
        </w:rPr>
        <w:t xml:space="preserve">Quelle: </w:t>
      </w:r>
      <w:r>
        <w:t>https://mcp.opencaselaw.ch/entscheid/vd_gerichte_PE21.009182</w:t>
      </w:r>
    </w:p>
    <w:p>
      <w:r>
        <w:t>FR: VD_GERICHTE PE21.009182 du 8 septembre 2021</w:t>
      </w:r>
    </w:p>
    <w:p>
      <w:r>
        <w:t>IT: VD_GERICHTE PE21.009182 del 8 settembre 2021</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w:t>
      </w:r>
    </w:p>
    <w:p>
      <w:r>
        <w:t>- 4 - CPP (art. 393 al. 1 let. c CPP), par un détenu qui a qualité pour recourir (art. 222 et 382 al. 1 CPP) et dans les formes prescrites (art. 385 al. 1 CPP), le recours est recevable, ainsi que les pièces nouvelles produites par le recourant (cf. CREP 16 novembre 2020/905).</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soupçons suffisants à son encontre. Il soutient que ses déclarations ont toujours été constantes et cohérentes, qu’il a toujours contesté toute implication dans un trafic de stupéfiants et que les deux autres prévenus ont confirmé qu’il ne savait pas que de la drogue était cachée dans le véhicule. Il affirme aussi que les écoutes téléphoniques ne permettaient pas de démontrer son implication dans un trafic de drogue, expliquant que sa présence dans le véhicule utilisé dans ledit trafic ne signifiait pas pour autant qu’il avait connaissance du but réel du voyage entrepris entre la France et la Suisse, soit le transport et la vente de drogue, le jour de son interpellation. Enfin, il conteste avoir reçu de l’argent pour ce voyage.</w:t>
      </w:r>
    </w:p>
    <w:p>
      <w:r>
        <w:rPr>
          <w:b/>
        </w:rPr>
        <w:t>E. 3.2</w:t>
      </w:r>
    </w:p>
    <w:p>
      <w:r>
        <w:t>; TF 1B_139/2020 du 15 avril 2020 consid. 3.1).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1B_139/2020 du 15 avril 2020 consid. 3.1 et les arrêts cités).</w:t>
      </w:r>
    </w:p>
    <w:p>
      <w:r>
        <w:rPr>
          <w:b/>
        </w:rPr>
        <w:t>E. 3.3</w:t>
      </w:r>
    </w:p>
    <w:p>
      <w:r>
        <w:t>En l’espèce, l'argumentation du recourant, qui consiste à reprendre celle déjà rejetée, en dernier lieu dans l’arrêt de la Chambre de céans du 16 août 2021, ne convainc pas. En effet, malgré ses dénégations, force est de retenir que les soupçons pesant sur lui ne se sont pas amenuisés tout au long de l’instruction : l’analyse des conversations téléphoniques interceptées par les enquêteurs ne laisse planer que peu de doute sur l’implication du recourant dans l’acheminement de la cocaïne depuis la France jusqu’à la Suisse (PV-aud. 4, annexes 2, 3, 4 et 5). Contrairement à ce qu’il soutient, ces conversations – qui ont été reproduites dans l’ordonnance du Tribunal des mesures de contrainte du 5 août 2021 (cf. pp. 2-3) – font plus que révéler que les « deux petits », soit C.________ et K.________, se trouvaient physiquement dans le véhicule ; il en ressort que l’interlocuteur craignait que leurs mères lui reprochent d’avoir envoyé leurs deux enfants « en prison en Suisse », qu’il leur</w:t>
      </w:r>
    </w:p>
    <w:p>
      <w:r>
        <w:t>- 6 - donnait des ordres sur leur itinéraire, veillait à ce que la police ne les suive pas, et avait pour projet d’aller les récupérer : c’est donc en vain que le recourant soutient que ces conversations ne permettent pas de démontrer qu’il avait connaissance du but réel du voyage. Quant à ses explications sur les raisons de sa venue en Suisse, sur son soudain changement de véhicule avec A.________, qu’il affirme ne pas connaître, et sur le déroulement du trajet entre la France et la Suisse, elles sont peu crédibles et contradictoires (PV aud. 1, p. 4 ; PV aud. 8, p. 2 ; PV aud. 10, pp 2 et 3). Par ailleurs, le recourant a admis qu’il devait percevoir une rémunération pour accompagner son ami K.________ (PV aud. 8, p. 2). Or, si C.________ avait simplement accompagné un ami à l’étranger, il n’y avait aucune raison pour qu’on lui remette ou qu’on lui promette de l’argent. Quant au fait qu’un de ses comparses ait déclaré qu’il ne devait toucher aucune rémunération, il ne convainc pas, au vu de l’aveu du recourant. Enfin, la remise de la cocaïne a eu lieu dans le véhicule dans lequel se trouvait le recourant (PV. aud. 9, p. 4 et PV aud. 11, p. 6). Au vu de ce qui précède, et à ce stade de l'enquête, c’est à raison que le Tribunal des mesures de contrainte a retenu l’existence de soupçons sérieux à l’encontre de C.________. Les seules déclarations de ses coprévenus, selon lesquelles il n’aurait pas été au courant des enjeux du voyage en Suisse, sont sujettes à caution et ne sauraient suffire à le mettre hors de cause, au vu des éléments qui précèdent. On rappelle encore que c'est au juge du fond et non à celui de la détention qu'il incombera d'apprécier tous les éléments à charge et à décharge.</w:t>
      </w:r>
    </w:p>
    <w:p>
      <w:r>
        <w:rPr>
          <w:b/>
        </w:rPr>
        <w:t>E. 4</w:t>
      </w:r>
    </w:p>
    <w:p>
      <w:r>
        <w:t>Le recourant conteste l’existence d’un risque de fuite puisque, selon lui, les soupçons pesant contre lui se seraient amenuisés de sorte que la possibilité d’une condamnation s’éloignerait.</w:t>
      </w:r>
    </w:p>
    <w:p>
      <w:r>
        <w:rPr>
          <w:b/>
        </w:rPr>
        <w:t>E. 4.1</w:t>
      </w:r>
    </w:p>
    <w:p>
      <w:r>
        <w:t>Selon la jurisprudence, le risque de fuite au sens de l'art. 221 al. 1 let. a CPP doit s'analyser en fonction d'un ensemble de critères tels que le caractère de l'intéressé, sa moralité, ses ressources,</w:t>
      </w:r>
    </w:p>
    <w:p>
      <w:r>
        <w:t>- 7 -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4.2</w:t>
      </w:r>
    </w:p>
    <w:p>
      <w:r>
        <w:t>En l’espèce, et comme déjà relevé ci-dessus (cf. consid. 3.3 supra), les soupçons pesant sur le recourant ne se sont pas amenuisés, de même que le risque d’une condamnation à une peine privative de liberté. Le recourant est ressortissant français et n’a aucune attache en Suisse. Il vit en France avec son père. Il a déclaré travailler comme indépendant dans l’automobile depuis le début de l’année et avoir voyagé en Allemagne et aux Pays-Bas dans ce cadre, expliquant être venu en Suisse uniquement pour voir comment se passe le domaine de la vente automobile (PV aud. 1, pp. 2 et 3). Compte tenu de ce qui précède, et au vu de la peine à laquelle le recourant se sait dorénavant exposé, le risque qu’il prenne la fuite et regagne la France – pays qui n’extrade pas ses ressortissants – est toujours concret. Par ailleurs, au vu de la nature des faits, une expulsion du territoire helvétique est susceptible d’être être prononcée, justifiant également de maintenir le recourant en détention pour en garantir l’exécution.</w:t>
      </w:r>
    </w:p>
    <w:p>
      <w:r>
        <w:rPr>
          <w:b/>
        </w:rPr>
        <w:t>E. 5</w:t>
      </w:r>
    </w:p>
    <w:p>
      <w:r>
        <w:t>A titre de mesure de substitution, le recourant propose le dépôt d’une caution de 10'000 fr. pour pallier le risque de fuite retenu. Il a produit des pièces attestant du dépôt de cette somme sur le compte bancaire ouvert par son conseil.</w:t>
      </w:r>
    </w:p>
    <w:p>
      <w:r>
        <w:rPr>
          <w:b/>
        </w:rPr>
        <w:t>E. 5.1.1</w:t>
      </w:r>
    </w:p>
    <w:p>
      <w:r>
        <w:t>Conformément au principe de la proportionnalité (art. 36 al. 3 Cst. ; pour la procédure pénale, cf. art. 197 al. 1 let. c CPP), il convient d'examiner les possibilités de mettre en œuvre d'autres solutions moins</w:t>
      </w:r>
    </w:p>
    <w:p>
      <w:r>
        <w:t>- 8 -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5.1.2</w:t>
      </w:r>
    </w:p>
    <w:p>
      <w:r>
        <w:t>Selon l’art. 238 al. 1 CPP, s’il y a danger de fuite, le tribunal peut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Le tribunal jouit d’un certain pouvoir d’appréciation pour juger de la force dissuasive d’un dépôt de sûretés sur les velléités de fuite de la personne concernée et il peut renoncer à ordonner une mise en liberté sous caution moyennant le versement de sûretés lorsqu’il a la conviction que cette mesure est insuffisante à</w:t>
      </w:r>
    </w:p>
    <w:p>
      <w:r>
        <w:t>- 9 - garantir la présence du prévenu aux débats et, le cas échéant, sa soumission au jugement (TF 1B_73/2011 du 14 mars 2011 consid. 4.1) ; en cas d’enquête pour viol, le Tribunal fédéral a confirmé qu’un dépôt de 20'000 fr. par la famille du prévenu n’apparaissait pas suffisant pour prévenir un risque de départ à l’étranger (TF 1B_177/2019 du 7 mai 2019 consid. 7.2).</w:t>
      </w:r>
    </w:p>
    <w:p>
      <w:r>
        <w:rPr>
          <w:b/>
        </w:rPr>
        <w:t>E. 5.2</w:t>
      </w:r>
    </w:p>
    <w:p>
      <w:r>
        <w:t>En l’espèce, le recourant est soupçonné d’avoir participé à un trafic de stupéfiants entre la France et la Suisse, portant à tout le moins sur 200 grammes de cocaïne. Il a également admis avoir eu à faire avec les autorités pénales françaises pour des vols en réunion (PV aud. 1). Il explique que ses parents ont versé un montant équivalent à 10’000 fr. (9'500 euros) sur le compte bancaire ouvert par son défenseur d’office, afin de garantir sa présence à l’audience de jugement à venir et que ce montant, qui équivaut à environ sept fois le SMIC, est suffisant. Si ce montant est certes conséquent, il n’en demeure pas moins qu’au vu de la peine qu’il encourt, il n’est pas propre à dissuader le recourant de se soustraire aux poursuites pénales dont il fait l’objet. Ainsi, c’est à juste titre que le Tribunal des mesures de contrainte a retenu que la mesure de substitution proposée par le recourant n’était pas à même de pallier le risque de fuite retenu.</w:t>
      </w:r>
    </w:p>
    <w:p>
      <w:r>
        <w:rPr>
          <w:b/>
        </w:rPr>
        <w:t>E. 6</w:t>
      </w:r>
    </w:p>
    <w:p>
      <w:r>
        <w:t>Le recourant soutient que le risque de collusion est inexistant. Ce risque n’ayant cependant pas été retenu dans la décision entreprise, il n’y a pas lieu de l’examiner.</w:t>
      </w:r>
    </w:p>
    <w:p>
      <w:r>
        <w:rPr>
          <w:b/>
        </w:rPr>
        <w:t>E. 7</w:t>
      </w:r>
    </w:p>
    <w:p>
      <w:r>
        <w:t>L’art. 212 al. 3 CPP prévoit que la détention provisoire ne doit pas durer plus longtemps que la peine privative de liberté prévisible. En l’espèce, la détention provisoire totale subie par le recourant à ce jour demeure conforme au principe de proportionnalité, compte tenu de l’infraction qui lui est reprochée, qui est passible d’une peine privative de liberté minimale d’un an (art. 19 al. 1 et 2 LStup).</w:t>
      </w:r>
    </w:p>
    <w:p>
      <w:r>
        <w:t>- 10 -</w:t>
      </w:r>
    </w:p>
    <w:p>
      <w:r>
        <w:rPr>
          <w:b/>
        </w:rPr>
        <w:t>E. 8</w:t>
      </w:r>
    </w:p>
    <w:p>
      <w:r>
        <w:t>Au vu de ce qui précède, le recours, manifestement mal fondé, doit être rejeté sans échange d'écritures (art. 390 al. 2 CPP) et l'ordonnance du 23 août 2021 confirmée. Les frais de la procédure de recours, constitués de l’émolument d’arrêt, par 990 fr. (art. 20 al. 1 TFIP [tarif des frais de procédure et indemnités en matière pénale du 28 septembre 2010 ; BLV 312.03.1]), ainsi que des frais imputables à la défense d’office (art. 422 al. 1 et 2 let. a CPP), fixés à 605 fr. en chiffres arrondis, qui comprennent des honoraires par 550 fr. (pour cinq heures d’activité d’avocat-stagiaire à 110 fr. de l’heure), des débours forfaitaires par 11 fr. (cf. art. 26b TFIP qui renvoie à l'art. 3bis RAJ [règlement sur l’assistance judiciaire en matière civile du 7 décembre 2010; BLV 211.02.3]) et la TVA sur le tout, au taux de 7,7%, par 43 fr. 20,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23 août 2021 est confirmée. III. L’indemnité allouée au défenseur d’office de C.________ est fixée à 605 fr. (six cent cinq francs). IV. Les frais d’arrêt, par 990 fr. (neuf cent nonante francs), ainsi que l’indemnité due au défenseur d’office de C.________, par 605 fr. (six cent cinq francs) sont mis à la charge de ce dernier. V. Le remboursement à l’Etat de l’indemnité allouée au chiffre III ci-dessus ne sera exigible que pour autant que la situation financière de C.________ le permette. VI. L’arrêt est exécutoire.</w:t>
      </w:r>
    </w:p>
    <w:p>
      <w:r>
        <w:t>- 11 - Le président : La greffière : Du Le présent arrêt, dont la rédaction a été approuvée à huis clos, est notifié, par l'envoi d'une copie complète, à : - Me Raphaël Brochellaz, avocat (pour C.________), - Ministère public central, et communiqué à : - Mme la Présidente du Tribunal des mesures de contrainte, - M. le Procureur cantonal Strada,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