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PE21.009161 vom 10. Juni 2021</w:t>
      </w:r>
    </w:p>
    <w:p>
      <w:r>
        <w:t>VD Tribunal cantonal, 2021-06-10, FR</w:t>
      </w:r>
    </w:p>
    <w:p>
      <w:r>
        <w:rPr>
          <w:b/>
        </w:rPr>
        <w:t xml:space="preserve">Quelle: </w:t>
      </w:r>
      <w:r>
        <w:t>https://mcp.opencaselaw.ch/entscheid/vd_gerichte_PE21.009161</w:t>
      </w:r>
    </w:p>
    <w:p>
      <w:r>
        <w:t>FR: VD_GERICHTE PE21.009161 du 10 juin 2021</w:t>
      </w:r>
    </w:p>
    <w:p>
      <w:r>
        <w:t>IT: VD_GERICHTE PE21.009161 del 10 giugno 2021</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2.1</w:t>
      </w:r>
    </w:p>
    <w:p>
      <w:r>
        <w:t>Le recourant invoque la violation de l’art. 221 al. 1 let. a CPP, ainsi que de l’art. 224 CPP. Il prétend qu’il n’existerait pas de soupçons suffisants, ni s’agissant des actes préparatoires à un brigandage, ni par rapport à une tentative de vol. Sa mise en détention ne reposerait que sur de simples suppositions ; il n’y aurait au dossier aucun élément permettant de retenir qu’il aurait pris des dispositions concrètes, conformément à un plan, en vue de commettre un brigandage. Il relève de prétendues divergences entre les diverses autorités intervenues. En effet, selon la police, il existerait des soupçons d’actes préparatoire de cambriolage, voire de brigandage dans l’armurerie [...] sise au [...] ; selon le Ministère public, il y aurait eu intention de dérober des armes en vue de commettre des brigandages ou d’autres crimes graves, ou de revendre des armes à d’autres individus ayant l’intention de commettre de telles infractions ; enfin, selon le Tribunal des mesures de contrainte, il y aurait eu des actes préparatoires à brigandage, sans autres précisions à propos du brigandage planifié.</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- 6 -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nn. 4 ss ad art. 221 CPP).</w:t>
      </w:r>
    </w:p>
    <w:p>
      <w:r>
        <w:rPr>
          <w:b/>
        </w:rPr>
        <w:t>E. 2.2.2</w:t>
      </w:r>
    </w:p>
    <w:p>
      <w:r>
        <w:t>A teneur de l’art. 224 CPP,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(al. 1).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 (al. 2).</w:t>
      </w:r>
    </w:p>
    <w:p>
      <w:r>
        <w:rPr>
          <w:b/>
        </w:rPr>
        <w:t>E. 2.3</w:t>
      </w:r>
    </w:p>
    <w:p>
      <w:r>
        <w:t>En l’occurrence, c’est en vain que le recourant conteste – d’une manière toute générale – l’existence de soupçons suffisants de commission d’une infraction. En particulier les prévenus soutiennent s’être trouvés par hasard à 03h00 du matin devant l’armurerie en cause. Toutefois, leurs explications sont confuses et leurs récits divergent, notamment sur les motifs de leur venue en Suisse et sur le déroulement de leur séjour. Par exemple, le recourant a déclaré à la police être venu en Suisse avec T.________ afin que ce dernier puisse voir sa copine qui habiterait à Annemasse et travaillerait à Lausanne. Il n’a cependant pas été en mesure de confirmer que son ami avait vu sa copine car il serait resté dans la voiture pendant ce temps (PV aud. du 23 mai 2021, R. 6 p. 4) ; entendu par le Ministère public, il a confirmé que son comparse était venu voir sa copine (PV aud. du 24 mai 2021, l. 31). Quant à</w:t>
      </w:r>
    </w:p>
    <w:p>
      <w:r>
        <w:t>- 7 - T.________, il a expliqué avoir eu envie de faire un tour en Suisse, mais n’a jamais indiqué qu’il voulait aller voir sa copine, ni qu’il l’avait vue. Ensuite, M.________ et T.________ sont tous deux nés en 1994 et leurs antécédents depuis 2007 tels que reproduits dans le rapport de police du 24 mai 2021 (pp. 8 ss) sont lourds, soit 34 inscriptions pour le recourant et 36 pour son comparse. Certains des antécédents de M.________ concernent des faits très graves (vol avec une arme, violences volontaires sur un dépositaire de l’autorité publique, fabrication non autorisée d’engins explosif incendiaires ou de produit explosif, détention sans autorisation de produit ou engin explosif etc.). S’agissant des antécédents de T.________ on relèvera ceux-ci : participation à une association de malfaiteurs en vue de la préparation d’un crime, menace de violence en réunion dans des parties communes ou sur toit d’immeuble, conduite d’un véhicule sans permis, vol par effraction, usage de stupéfiants, outrage à personne chargée d’une mission de service public, refus par le conducteur d’obtempérer à une sommation de s’arrêter, pénétration dans un établissement pénitentiaire sans autorisation, violences volontaires sur un dépositaire de l’autorité publique, vol à l’étalage, vol avec violence, destruction ou dégradation de véhicule privé, violence avec usage ou menace d’une arme sans incapacité, extorsion de fonds et de valeur, délit de fuite, recel de bien provenant d’un délit, vol en bande organisée, vol avec arme. Au vu de ces éléments, tout porte à croire que les deux prévenus sont des délinquants endurcis, faisant potentiellement partie d’une bande ou ayant des connexions avec le milieu du grand banditisme. Les intéressés ne donnent aucune explication plausible à leur présence sur les lieux, au milieu de la nuit, à proximité directe d’une armurerie qui ne se trouve pas sur une route passante, mais dans une zone industrielle. Ensuite, il y a les images des caméras de vidéosurveillance de l’armurerie (annexe au rapport d’investigation de la police du 24 mai 2021). Selon l’analyse de ces images, on ne peut que penser que M.________ et T.________ étaient venus observer la sécurité de l’armurerie notamment les barreaux sécurisant la vitrine principale. On peut résumer leurs démarches de la nuit du 23 mai 2021 comme suit.</w:t>
      </w:r>
    </w:p>
    <w:p>
      <w:r>
        <w:t>- 8 - A 03h10, les deux comparses arrivent à pied vers l’entrée de l’armurerie. Ils traversent le parking et se dirigent directement et de manière déterminée vers la grande fenêtre faisant office de vitrine. Avec leur lampe frontale et la lumière du téléphone portable, ils regardent à l’intérieur de l’armurerie mais également les barreaux protégeant la vitrine. L’un des auteurs va même s’accroupir pour regarder les éléments situés dans l’angle inférieur gauche des barreaux. Ensuite, les deux hommes se déplacent et vont observer une autre fenêtre protégée par des barreaux puis reviennent vers la vitrine principale et observent à nouveau un point situé dans l’angle intérieur gauche des barreaux de la vitrine. A 03h15, les intéressés repartent puis se retournent et regardent le bâtiment de l’armurerie. Quelques mètres plus loin, ils regardent à nouveau l’armurerie et l’un des individus montre du doigt un élément du bâtiment. Puis ils partent précipitamment du champ de la caméra, 15 secondes environ avant l’arrivée d’une patrouille de police qu’ils avaient vraisemblablement vue arriver. A 03h17, M.________ et T.________ sont interpellés alors qu’ils se cachaient derrière une voiture stationnée sur le parking de l’armurerie. A ces éléments s’ajoute encore le fait que ces derniers sont venus en Suisse depuis la France (région lyonnaise) avec une voiture de location munie de plaques genevoises, probablement pour ne pas attirer l’attention. Pour la même raison, ils se sont parqués à bonne distance de l’armurerie et ont fait le trajet (2 minutes), à pied. S’agissant de la raison de ce déplacement avancée par le recourant, selon laquelle ils auraient marché une centaine de mètres car ils ne voulaient pas uriner en bas d’un immeuble au milieu du passage, elle n’est pas convaincante. Au vu de ces éléments, les explications de M.________ et de T.________ ne sont pas crédibles. Enfin, l’argument du recourant, selon lequel il ne sait pas ce dont on l’accuse car il est tantôt accusé d’actes préparatoires de cambriolage, tantôt accusé d’actes préparatoires de brigandage de l’armurerie ou encore d’actes préparatoires d’un brigandage indéterminé, n’est pas sérieux. En</w:t>
      </w:r>
    </w:p>
    <w:p>
      <w:r>
        <w:t>- 9 - effet, la police, le Ministère public et le Tribunal des mesures de contrainte ont tous exposé l’existence de desseins illicites, et d’actes préparatoires en vue d’un brigandage, de sorte que le prévenu est parfaitement en mesure de comprendre ce qu’on lui reproche. En outre, à ce stade, l’enquête ne fait que débuter, et il n’est pas nécessaire de déterminer si le dessein de commettre un brigandage ne les concernait qu’eux seuls, ou s’il impliquait d’éventuels complices. Au vu de ce qui précède, on ne distingue aucune violation de l’art. 221 al. 1 CPP et, partant, de l’art. 224 CPP, dont la procédure a au demeurant été respectée.</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3.2</w:t>
      </w:r>
    </w:p>
    <w:p>
      <w:r>
        <w:t>En l’espèce, le recourant, ressortissant français au passé judiciaire chargé et de passage en Suisse, présente à l’évidence un risque de fuite. Effectivement, l’on ne peut que craindre qu’il quitte le pays pour se soustraire à la peine encourue. Il s’ensuit que le risque de fuite, au demeurant non contesté en tant que tel par le recourant, est réalisé.</w:t>
      </w:r>
    </w:p>
    <w:p>
      <w:r>
        <w:rPr>
          <w:b/>
        </w:rPr>
        <w:t>E. 4.1</w:t>
      </w:r>
    </w:p>
    <w:p>
      <w:r>
        <w:t>Selon l’art. 221 al. 1 let. b CPP, la détention provisoire peut notamment être ordonnée lorsqu'il y a sérieusement lieu de craindre que</w:t>
      </w:r>
    </w:p>
    <w:p>
      <w:r>
        <w:t>- 10 - le prévenu compromette la recherche de la vérité en exerçant une influence sur des personnes ou en altérant des moyens de preuves. Le motif de détention pour risque de collusion est réalisé lorsqu'il y a sérieusement à craindre que le prévenu compromette la recherche de la vérité en exerçant une influence sur des personnes ou en altérant des moyens de preuve (art. 221 al. 1 let. b CPP). L'influence sur les coprévenus, les témoins, les victimes ou les experts peut s'exercer au moyen de la promesse d'avantages (subornation de témoins) ou au moyen de mesures d'intimidation (menace sur des témoins);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 et alii [éd.], Commentaire romand, Code de procédure pénale suisse [CR CPP], 2e éd., Bâle 2019, n. 13 ad art. 221 CPP;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ATF 132 I 21 consid. 3.2 et réf. cit.). Plus l'instruction se trouve à un stade avancé et les faits sont établis avec précision, plus les exigences</w:t>
      </w:r>
    </w:p>
    <w:p>
      <w:r>
        <w:t>- 11 - relatives à la preuve de l'existence d’un risque de collusion sont élevées (ATF 137 IV 122 consid. 4.2; ATF 132 I 21 consid. 3.2.2; TF 1B_577/2020 du 2 décembre 2020 consid. 3.1).</w:t>
      </w:r>
    </w:p>
    <w:p>
      <w:r>
        <w:rPr>
          <w:b/>
        </w:rPr>
        <w:t>E. 4.2</w:t>
      </w:r>
    </w:p>
    <w:p>
      <w:r>
        <w:t>En l’occurrence, le recourant conteste les faits qui lui sont reprochés. L’enquête n’en est qu’à ses débuts et de nombreuses investigations doivent encore être menées afin de déterminer plus précisément le projet criminel des prévenus, respectivement si d’autres personnes sont mêlées à son organisation. Ainsi, il est impératif, comme le relève le Ministère public, que les deux prévenus ne puissent pas arranger leurs versions entre eux, respectivement qu’ils ne puissent pas prendre contact avec de potentiels complices en France ou ailleurs. En conséquence, le risque de collusion, au demeurant non contesté par M.________, justifie le placement en détention de ce dernier.</w:t>
      </w:r>
    </w:p>
    <w:p>
      <w:r>
        <w:rPr>
          <w:b/>
        </w:rPr>
        <w:t>E. 5</w:t>
      </w:r>
    </w:p>
    <w:p>
      <w:r>
        <w:t>Les motifs fondant la détention provisoire étant alternatifs (TF 1B_242/2016 du 21 juillet 2016 consid. 5), il n’est pas nécessaire de déterminer si un risque de réitération devrait également être retenu.</w:t>
      </w:r>
    </w:p>
    <w:p>
      <w:r>
        <w:rPr>
          <w:b/>
        </w:rPr>
        <w:t>E. 6.1</w:t>
      </w:r>
    </w:p>
    <w:p>
      <w:r>
        <w:t>Le recourant considère que des mesures de substitution pourraient pallier les risques constatés. Sur ce point, il propose qu’une mesure de substitution à forme de saisie de ses documents d’identité et/ou d’une obligation de se présenter régulièrement à un service administratif et/ou d’une interdiction d’entretenir des relations avec les autres parties concernées par la procédure, pour une durée de deux mois au maximum, soit ordonnée.</w:t>
      </w:r>
    </w:p>
    <w:p>
      <w:r>
        <w:rPr>
          <w:b/>
        </w:rPr>
        <w:t>E. 6.2</w:t>
      </w:r>
    </w:p>
    <w:p>
      <w:r>
        <w:t>Selon l'art. 237 al. 1 CPP, le tribunal compétent ordonne une ou plusieurs mesures moins sévères en lieu et place de la détention si ces mesures permettent d'atteindre le même but que la détention.</w:t>
      </w:r>
    </w:p>
    <w:p>
      <w:r>
        <w:rPr>
          <w:b/>
        </w:rPr>
        <w:t>E. 6.3</w:t>
      </w:r>
    </w:p>
    <w:p>
      <w:r>
        <w:t>Aucune des mesures de substitution proposées par le recourant ne paraît à même de prévenir les risques retenus. La saisie des documents d’identité ou l’obligation de se présenter à un service</w:t>
      </w:r>
    </w:p>
    <w:p>
      <w:r>
        <w:t>- 12 - administratif ne peuvent empêcher le prévenu de quitter le territoire suisse, d’y demeurer clandestinement en se soustrayant à l’autorité ou de parler de l’affaire en cours. Quant à l’interdiction d’entretenir des relations avec certaines personnes, une telle mesure ne saurait empêcher la fuite du recourant et, surtout, ne reposerait que sur le bon vouloir de celui-ci, ce qui ne saurait suffire au vu de ses antécédents.</w:t>
      </w:r>
    </w:p>
    <w:p>
      <w:r>
        <w:rPr>
          <w:b/>
        </w:rPr>
        <w:t>E. 7.1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7.2</w:t>
      </w:r>
    </w:p>
    <w:p>
      <w:r>
        <w:t>Dans le cas présent, le recourant est détenu depuis le 23 mai 2021, soit depuis moins d’un mois. Le principe de la proportionnalité est respecté compte tenu des charges pesant sur lui, de la peine susceptible d'être prononcée à son encontre et des mesures d'instruction à venir, dont certaines sont transfrontalières.</w:t>
      </w:r>
    </w:p>
    <w:p>
      <w:r>
        <w:rPr>
          <w:b/>
        </w:rPr>
        <w:t>E. 8</w:t>
      </w:r>
    </w:p>
    <w:p>
      <w:r>
        <w:t>Il résulte de ce qui précède que le recours, manifestement mal fondé, doit être rejeté sans échange d’écritures (art. 390 al. 2 CPP) et l’ordonnance attaquée confirmée. Au vu du mémoire de recours produit, l’indemnité allouée au défenseur d’office de M.________ sera fixée à 540 fr., correspondant à une activité nécessaire d’avocat de 3 heures au tarif horaire de 180 fr.,</w:t>
      </w:r>
    </w:p>
    <w:p>
      <w:r>
        <w:t>- 13 -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594 fr. au total en chiffres arrondis. Vu le sort du recours, les frais de la procédure, constitués en l’espèce de l’émolument d'arrêt, par 1’320 fr. (art. 20 al. 1 TFIP [tarif des frais de procédure et indemnités en matière pénale du 28 septembre 2010; BLV 312.03.1]), et des frais imputables à la défense d’office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25 mai 2021 est confirmée. III. L'indemnité allouée au défenseur d'office de M.________ est fixée à 594 fr. (cinq cent nonante-quatre francs). IV. Les frais d'arrêt, par 1’320 fr. (mille trois cent vingt francs), ainsi que l'indemnité allouée au défenseur d'office du recourant, par 594 fr. (cinq cent nonante-quatre francs), sont mis à la charge de M.________.</w:t>
      </w:r>
    </w:p>
    <w:p>
      <w:r>
        <w:t>- 14 - V. Le remboursement à l'Etat de l’indemnité allouée au chiffre III ci-dessus ne sera exigible que pour autant que la situation financière de M.________ le permette. VI. L’arrêt est exécutoire. Le président : La greffière :</w:t>
      </w:r>
    </w:p>
    <w:p>
      <w:r>
        <w:t>- 15 - Du Le présent arrêt, dont la rédaction a été approuvée à huis clos, est notifié, par l'envoi d'une copie complète, à : - Me Julien Chapuis, avocat (pour M.________), - Ministère public central, et communiqué à : - Mme la Procureure de l’arrondissement du Nord vaudois,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