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PE21.008949 vom 21. September 2021</w:t>
      </w:r>
    </w:p>
    <w:p>
      <w:r>
        <w:t>VD Tribunal cantonal, 2021-09-21, FR</w:t>
      </w:r>
    </w:p>
    <w:p>
      <w:r>
        <w:rPr>
          <w:b/>
        </w:rPr>
        <w:t xml:space="preserve">Quelle: </w:t>
      </w:r>
      <w:r>
        <w:t>https://mcp.opencaselaw.ch/entscheid/vd_gerichte_PE21.008949</w:t>
      </w:r>
    </w:p>
    <w:p>
      <w:r>
        <w:t>FR: VD_GERICHTE PE21.008949 du 21 septembre 2021</w:t>
      </w:r>
    </w:p>
    <w:p>
      <w:r>
        <w:t>IT: VD_GERICHTE PE21.008949 del 21 settembre 2021</w:t>
      </w:r>
    </w:p>
    <w:p>
      <w:pPr>
        <w:pStyle w:val="Heading2"/>
      </w:pPr>
      <w:r>
        <w:t>Erwägungen</w:t>
      </w:r>
    </w:p>
    <w:p>
      <w:r>
        <w:rPr>
          <w:b/>
        </w:rPr>
        <w:t>E. 1</w:t>
      </w:r>
    </w:p>
    <w:p>
      <w:r>
        <w:t>Le recours a été déposé en temps utile (art. 310 al. 2 et 322 al.</w:t>
      </w:r>
    </w:p>
    <w:p>
      <w:r>
        <w:rPr>
          <w:b/>
        </w:rPr>
        <w:t>E. 2</w:t>
      </w:r>
    </w:p>
    <w:p>
      <w:r>
        <w:t>Demande de restitution de délai</w:t>
      </w:r>
    </w:p>
    <w:p>
      <w:r>
        <w:rPr>
          <w:b/>
        </w:rPr>
        <w:t>E. 2.1</w:t>
      </w:r>
    </w:p>
    <w:p>
      <w:r>
        <w:t>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Par empêchement non fautif, il faut entendre non seulement l'impossibilité objective, comme la force majeure, mais également l'impossibilité subjective due à des circonstances personnelles ou à l'erreur excusable (TF 6B_18/2019 du 21 janvier 2019 consid. 3.1 ; ATF 96 II 262 consid. 1a ; Moreillon/ Parein-Reymond, Code de procédure pénale, Petit commentaire, 2e éd.,</w:t>
      </w:r>
    </w:p>
    <w:p>
      <w:r>
        <w:t>- 4 - Bâle 2016, n. 5 ad art. 94 CPP). La pratique, qui se montre stricte dans l'appréciation de la réalisation de cette condition, exige que le caractère non fautif de l'empêchement allégué apparaisse clairement (TF 6B_18/2019 précité ; TF 6B_148/2018 du 12 septembre 2018 consid. 3.3). Un accident ou une maladie peuvent constituer un empêchement non fautif et conduire à la restitution d'un délai de recours, lorsqu'ils mettent la partie objectivement ou subjectivement dans l'impossibilité d'agir par elle- 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Autrement dit, une maladie ne constitue pas un empêchement non fautif lorsqu'elle n'est pas inattendue et n'empêche pas de se faire représenter (TF 6B_360/2013 du 3 octobre 2013). Ainsi un simple rhume, une opération pour une hernie, des intenses vertiges, des pertes de conscience, des nausées et des problèmes auditifs ne sont pas des empêchements valables (Stoll, Commentaire romand, Code de procédure pénale suisse, 2e éd., Bâle 2019, n. infrapaginale 7 ad art. 94 CPP et les références).</w:t>
      </w:r>
    </w:p>
    <w:p>
      <w:r>
        <w:rPr>
          <w:b/>
        </w:rPr>
        <w:t>E. 2.2</w:t>
      </w:r>
    </w:p>
    <w:p>
      <w:r>
        <w:t>et les références).</w:t>
      </w:r>
    </w:p>
    <w:p>
      <w:r>
        <w:rPr>
          <w:b/>
        </w:rPr>
        <w:t>E. 3</w:t>
      </w:r>
    </w:p>
    <w:p>
      <w:r>
        <w:t>Motivation du recours</w:t>
      </w:r>
    </w:p>
    <w:p>
      <w:r>
        <w:rPr>
          <w:b/>
        </w:rPr>
        <w:t>E. 3.1</w:t>
      </w:r>
    </w:p>
    <w:p>
      <w:r>
        <w:t>Le recours contre les décisions notifiées par écrit ou oralement est motivé et adressé par écrit à l’autorité de recours (art. 396 al. 1 CPP). Le recours peut être formé pour les motifs suivants : (a) violation du droit, y compris l’excès et l’abus du pouvoir d’appréciation, le déni de justice et le retard injustifié, (b) constatation incomplète ou erronée des faits ou (c) inopportunité (art. 393 al. 2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w:t>
      </w:r>
    </w:p>
    <w:p>
      <w:r>
        <w:t>- 6 - consid. 2.2 et les références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w:t>
      </w:r>
    </w:p>
    <w:p>
      <w:r>
        <w:rPr>
          <w:b/>
        </w:rPr>
        <w:t>E. 3.2</w:t>
      </w:r>
    </w:p>
    <w:p>
      <w:r>
        <w:t>En l’espèce, le recourant soutient que d’autres élèves plus âgés que son fils auraient été admis aux examens d’admission aux gymnases vaudois. Il ne se détermine donc sur aucun des motifs exposés par la Procureure, à savoir le fait que les arguments invoqués dans sa plainte ne répondent à aucune infraction pénale et que le litige relève exclusivement du domaine administratif. En d’autres termes, le recourant n’indique ni les points de la décision qu’il attaque, soit la formulation que devrait avoir la nouvelle décision, ni les motifs qui commandent une autre décision, soit dans quelle mesure il critique l’établissement des faits ou l’application du droit. Les conditions posées par les art. 385 al. 1 et 393 al. 2 CPP ne sont donc manifestement pas remplies.</w:t>
      </w:r>
    </w:p>
    <w:p>
      <w:r>
        <w:t>- 7 - Le recours doit par conséquent être déclaré irrecevable pour ce second motif.</w:t>
      </w:r>
    </w:p>
    <w:p>
      <w:r>
        <w:rPr>
          <w:b/>
        </w:rPr>
        <w:t>E. 4</w:t>
      </w:r>
    </w:p>
    <w:p>
      <w:r>
        <w:t>Les frais de la procédure de recours, par 660 fr. (art. 20 al. 1 TFIP [tarif des frais de procédure et indemnités en matière pénale du 28 septembre 2010 ; BLV 312.03.1), seront mis à la charge du recourant, qui est réputé avoir succombé (art. 428 al. 1, 2e phrase CPP). Par ces motifs, la Chambre des recours pénale prononce : I. La demande de restitution de délai est rejetée. II. Le recours est irrecevable. III. Les frais de la procédure de recours,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Procureure du Ministère public de l’arrondissement de Lausanne,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