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PE21.008903 vom 25. September 2025</w:t>
      </w:r>
    </w:p>
    <w:p>
      <w:r>
        <w:t>VD Tribunal cantonal, 2025-09-25, FR</w:t>
      </w:r>
    </w:p>
    <w:p>
      <w:r>
        <w:rPr>
          <w:b/>
        </w:rPr>
        <w:t xml:space="preserve">Quelle: </w:t>
      </w:r>
      <w:r>
        <w:t>https://mcp.opencaselaw.ch/entscheid/vd_gerichte_PE21.008903</w:t>
      </w:r>
    </w:p>
    <w:p>
      <w:r>
        <w:t>FR: VD_GERICHTE PE21.008903 du 25 septembre 2025</w:t>
      </w:r>
    </w:p>
    <w:p>
      <w:r>
        <w:t>IT: VD_GERICHTE PE21.008903 del 25 settembre 2025</w:t>
      </w:r>
    </w:p>
    <w:p>
      <w:pPr>
        <w:pStyle w:val="Heading2"/>
      </w:pPr>
      <w:r>
        <w:t>Erwägungen</w:t>
      </w:r>
    </w:p>
    <w:p>
      <w:r>
        <w:rPr>
          <w:b/>
        </w:rPr>
        <w:t>E. 2</w:t>
      </w:r>
    </w:p>
    <w:p>
      <w:r>
        <w:t>CPP en matière de frais. La question de l'indemnisation du prévenu (art. 429 CPP) doit être traitée en relation avec celle des frais (art. 426 CPP). La question de l'indemnisation doit être tranchée après la question des frais.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(ATF 145 IV 268 consid. 1.2 ; ATF 144 IV 207 consid. 1.8.2 ; ATF 137 IV 352 consid. 2.4.2 ; TF 6B_271/2024 et 6B_316/2024 du 17 septembre 2024 consid. 4.1.2 et les références citées). L’art. 430 al. 1 CPP posant les mêmes conditions que l’art. 426 al. 2 CPP, il est adéquat de se référer dans les deux cas à la jurisprudence rendue en matière de condamnation aux frais du prévenu acquitté (ATF 137 IV 352 précité consid. 2.4.2).</w:t>
      </w:r>
    </w:p>
    <w:p>
      <w:r>
        <w:rPr>
          <w:b/>
        </w:rPr>
        <w:t>E. 2.3</w:t>
      </w:r>
    </w:p>
    <w:p>
      <w:r>
        <w:t>En tant que le recourant se plaint de la formulation selon laquelle il aurait été « condamné » par acte d’accusation du 15 novembre 2021, il sied de reconnaître que cette formulation est effectivement inexacte, dès lors qu’il n’a pas été condamné, mais uniquement mis en accusation. Cela étant, cette erreur n’a aucune incidence sur le sort et sur le raisonnement du Tribunal de police, dès lors que la mise à sa charge des frais de procédure et le refus de toute indemnité au sens de l’art. 429 al. 1 let. a CPP se fondent sur le rôle qu’il a joué, sur son comportement répréhensible du point du vue du droit civil et sur sa bonne foi à l’aune de l’ouverture d’une procédure pénale à son encontre, sans jamais retenir qu’il aurait été condamné des chefs retenus dans l’acte d’accusation.</w:t>
      </w:r>
    </w:p>
    <w:p>
      <w:r>
        <w:t>- 10 - S’agissant des frais de justice mis à la charge du recourant, la motivation de l’autorité précédente repose sur le fait qu’il aurait adopté un comportement civilement répréhensible et contraire à la bonne foi en participant à une manifestation non autorisée visant à déverser du charbon dans le hall d’une entreprise commerciale et qu’il pouvait de bonne foi imaginer que son comportement serait passible de poursuites pénales. En l’espèce, force et de constater que la plainte d’A.________ AG a été déposée le jour des faits et que la qualification juridique de ceux- ci n’était pas d’emblée évidente, puisque la question a été portée jusqu’au Tribunal fédéral. Au demeurant, saisi d’une plainte, le Ministère public ne pouvait pas rester dans l’inaction et devait à tout le moins élucider les faits pour déterminer si la cause devait être renvoyée en accusation ou pouvait faire l’objet d’une ordonnance de non-entrée en matière ou de classement. L’acte d’accusation renvoyant le recourant à plusieurs titres confirme que le Ministère public n’a pas fait preuve d’un excès de zèle en ouvrant une enquête. Le Ministère public a au contraire plaidé pour l’abandon de l’ensemble des chefs d’accusation alors que seule une infraction était poursuivie sur plainte – laquelle a été retirée – et que la contravention à la LContr était prescrite. Le recourant a ainsi bénéficié d’un traitement plutôt favorable compte tenu des faits reprochés. Il soutient qu’il n’aurait pas déversé de charbon lui-même dans l’établissement et qu’il aurait uniquement servi de caution scientifique dans le cadre de la manifestation, par sa seule présence en dehors de la banque. Son argument est dénué de pertinence, puisqu’il n’a précisément pas été condamné, et que les poursuites ont été abandonnées ; les faits n’ont donc pas eu à être élucidés afin de déterminer le rôle de chaque manifestant. Seul est déterminant en l’espèce le fait de savoir si l’ouverture d’une action pénale était prima facie justifiée, ce qui était le cas, dès lors que le recourant n’a pas contesté avoir participé d’une certaine manière à cette manifestation et avoir pris part à l’action menée, étant précisé qu’en se portant « caution scientifique », il a soutenu les activistes, proche de la complicité, et porté illicitement atteinte à la</w:t>
      </w:r>
    </w:p>
    <w:p>
      <w:r>
        <w:t>- 11 - personnalité de la plaignante (cf. art. 28 CC [Code civil suisse du 10 décembre 1907 ; RS 210], qui protège également les personnes morales ; ATF 108 II 241). Ce n’est de surcroît qu’après une procédure de plusieurs années et l’arrêt rendu par le Tribunal fédéral que la plaignante a finalement retiré sa plainte. Si d’emblée elle avait estimé que D.________ n’avait pas pris part à cet événement, elle n’aurait pas déposé plainte à son encontre et le Ministère public ne serait pas entré en matière. Aussi, on peut raisonnablement considérer que le recourant devait savoir, par son comportement, qu’il prenait le risque d’être l’objet d’une procédure judiciaire (pénale ou civile) et de devoir en supporter le coût. La mise à sa charge des frais de procédure ne constitue pas une sanction « déguisée », mais reflète le déroulement de la procédure. Il n’y a pas de violation de la présomption d’innocence. Quant au grief de violation de l’art. 426 al. 2 CPP, à tout le moins, le raisonnement querellé ne consacre aucune violation de la marge d’appréciation du juge. Enfin, le fait que le recourant ait collaboré à la procédure est sans incidence sur la constatation d’une faute civile fondant une condamnation aux frais. C’est donc à juste titre que le premier juge a mis les frais de procédure à la charge de D.________. S’agissant du montant des frais judiciaires de première instance, c’est à juste titre que le recourant fait valoir que l’exposé des motifs du jugement entrepris est en contradiction avec son dispositif, le premier mentionnant un montant à sa charge de 200 fr. et le dispositif un montant de 750 francs. Or, à teneur de l’art. 83 al. 1 CPP, l'autorité pénale qui a rendu un prononcé dont le dispositif est peu clair, contradictoire ou incomplet ou qui est en contradiction avec l'exposé des motifs, l'explique ou le rectifie à la demande d'une partie ou d'office. Cette contradiction manifeste doit ainsi être rectifiée en application de l’art. 83 al. 1 CPP et le montant le plus favorable au recourant doit être retenu. Les frais de la procédure de première instance mis à la charge du recourant seront en conséquence arrêtés à 200 francs. Quant au refus d’allouer au recourant une indemnité fondée sur l’art. 429 al. 1 let. a CPP, elle est motivée par les bases légales topiques et la jurisprudence rendue en relation avec cette disposition. Le</w:t>
      </w:r>
    </w:p>
    <w:p>
      <w:r>
        <w:t>- 12 - recourant fonde sa conclusion sur le fait qu’il devrait être libéré du paiement des frais de procédure. Or, on l’a vu, tel n’est pas le cas. Son argumentation étant fondée sur le postulat non retenu de sa libération des frais, sans critique au surplus du mécanisme des art. 429 et 430 CPP, il n’y a pas lieu de réexaminer le rejet, par le Tribunal de police, de sa requête tendant à l’octroi d’une indemnité à forme de l’art. 429 al. 1 let. a CPP. Le raisonnement du premier juge peut ainsi être confirmé.</w:t>
      </w:r>
    </w:p>
    <w:p>
      <w:r>
        <w:rPr>
          <w:b/>
        </w:rPr>
        <w:t>E. 3</w:t>
      </w:r>
    </w:p>
    <w:p>
      <w:r>
        <w:t>En définitive, le recours, manifestement mal fondé, doit être rejeté sans échange d’écritures (art. 390 al. 2 CPP) et l’ordonnance entreprise confirmée, sous réserve du chiffre V de son dispositif, qui doit être corrigé d’office en ce sens que les frais, par 200 fr., sont mis à la charge de D.________. Vu le sort du recours, les frais de la procédure, constitués en l’espèce du seul émolument d'arrêt, par 990 fr. (art. 20 al. 1 TFIP [tarif des frais de procédure et indemnités en matière pénale du 28 septembre 2010 ; BLV 312.03.1]), seront mis à la charge du recourant, qui succombe (art. 428 al. 1 CPP), et aucune indemnité ne lui sera allouée pour les dépenses occasionnées par la procédure. Par ces motifs, la juge unique prononce : I. Le recours est rejeté. II. Le prononcé du 25 juin 2025 est confirmé, sous réserve du chiffre V de son dispositif, corrigé d’office, dont la teneur est la suivante : « V. met les frais, par CHF 200.-, à la charge de D.________ ». III. Les frais d’arrêt, par 990 fr. (neuf cent nonante francs), sont mis à la charge de D.________.</w:t>
      </w:r>
    </w:p>
    <w:p>
      <w:r>
        <w:t>- 13 - IV. L’arrêt est exécutoire. La juge unique : La greffière : Du Le présent arrêt, dont la rédaction a été approuvée à huis clos, est notifié, par l'envoi d'une copie complète, à : - Mes David Raedler et Valentin Schickel, avocats (pour D.________), - Ministère public central,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