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PE21.008901 vom 25. Mai 2022</w:t>
      </w:r>
    </w:p>
    <w:p>
      <w:r>
        <w:t>VD Tribunal cantonal, 2022-05-25, FR</w:t>
      </w:r>
    </w:p>
    <w:p>
      <w:r>
        <w:rPr>
          <w:b/>
        </w:rPr>
        <w:t xml:space="preserve">Quelle: </w:t>
      </w:r>
      <w:r>
        <w:t>https://mcp.opencaselaw.ch/entscheid/vd_gerichte_PE21.008901</w:t>
      </w:r>
    </w:p>
    <w:p>
      <w:r>
        <w:t>FR: VD_GERICHTE PE21.008901 du 25 mai 2022</w:t>
      </w:r>
    </w:p>
    <w:p>
      <w:r>
        <w:t>IT: VD_GERICHTE PE21.008901 del 25 maggio 2022</w:t>
      </w:r>
    </w:p>
    <w:p>
      <w:pPr>
        <w:pStyle w:val="Heading2"/>
      </w:pPr>
      <w:r>
        <w:t>Volltext</w:t>
      </w:r>
    </w:p>
    <w:p>
      <w:r>
        <w:t>TRIBUNAL CANTONAL 25 PE21.008901/PBR/jga/epa CO UR D’APPEL PENALE ______________________________ Audience du 19 janvier 2023 __________________ Composition : M. WINZAP, président Mme Bendani et M. Parrone, juges Greffier : M. Valentino ***** Parties à la présente cause : A.________ et C.________, prévenus, appelants, et MINISTERE PUBLIC, représenté par la Procureure de l’arrondissement de Lausanne, intimé. 654</w:t>
      </w:r>
    </w:p>
    <w:p>
      <w:r>
        <w:t>- 7 - La Cour d’appel pénale considère : En fait : A. Par jugement du 25 mai 2022, le Tribunal de police de l’arrondissement de Lausanne a notamment constaté quA.________ et C.________ s’étaient rendus coupables d’entrave aux services d’intérêt général, de violation simple des règles de la circulation routière et de contravention à la loi vaudoise sur les contraventions (III et V) et les a condamnés chacun à une peine pécuniaire de 10 jours-amende, le montant du jour-amende étant arrêté à 100 fr., avec sursis pendant 2 ans, et à une amende de 500 fr., la peine privative de liberté de substitution étant de 10 jours (IV et VI), a mis une part des frais de la cause, par 200 fr. à la charge de [...], par 200 fr. à la charge d’A.________ et par 200 fr. à la charge de C.________, le solde restant à la charge de l’Etat (X), et a rejeté toute autre ou plus ample conclusion (XI). B. Par annonces des 1er et 3 juin 2022, puis déclarations du 4 juillet 2022, A.________ et C.________ ont chacun fait appel de ce jugement, en concluant à leur acquittement respectif des infractions retenues en première instance et à ce que les frais soient laissés à la charge de l’Etat. C. Les faits retenus sont les suivants : 1. 1.1 A.________, né en 1962, divorcé, ingénieur, domicilié à [...], sans inscription à son casier judiciaire, dit gagner environ 10'000 fr. par mois. Un de ses quatre garçons est encore à sa charge. 1.2 C.________, née en 1969, mariée, domiciliée à [...], est médecin, et dit gagner un peu moins de 7'500 fr. par mois. Elle a un</w:t>
      </w:r>
    </w:p>
    <w:p>
      <w:r>
        <w:t>- 8 - enfant à sa charge et elle est le seul soutien de la famille. Les frais hypothécaires de la maison s’élèvent à 1'000 fr. par mois. Le casier judiciaire suisse de C.________ comporte les inscriptions suivantes : - 05.03.2013, Ministère public de l’arrondissement de Lausanne, conduite d’un véhicule automobile en état d’ébriété avec un taux d’alcool qualifié, peine pécuniaire de 18 jours-amende à 90 fr., avec sursis pendant 2 ans, et amende de 1'080 francs ; - 15.12.2021, Tribunal Zurich Limmat, contrainte et entrave au service d’intérêt général, 15 jours-amende à 60 fr., avec sursis pendant 2 ans. 2. 2.1 Il est reproché à A.________ et à C.________, sur la base du rapport d’investigation du 8 décembre 2020, d’avoir participé, le 9 juin 2020, à un rassemblement non-autorisé du [...] pour manifester pour le climat en ville de [...]. La manifestation a débuté à proximité du [...], où siégeait à l’époque le Conseil communal de [...], et a consisté ensuite en un cortège à travers la ville, avec plusieurs dizaines de manifestants, qui, sur la chaussée bien autant que sur le trottoir, sont descendus jusqu’au bas de la Rue [...], en s’immobilisant notamment au carrefour [...], empêchant ainsi la circulation routière et notamment celle des transports publics [...]. Quinze minutes plus tard, sous la menace de l’intervention de la police, le cortège est reparti en direction de la gare, empruntant la voie de circulation de droite de la place [...], de l’Avenue du [...] et de l’Avenue [...], empêchant à nouveau les transports publics [...] de circuler normalement. Un nouveau « sit-in » a eu lieu au giratoire du bas de l’Avenue [...], entravant la circulation, avant de se disperser quelques minutes plus tard, sous la menace de l’intervention de la police. Cette manifestation avait pour but, selon les slogans, de « faire dire la vérité aux élus sur l’urgence climatique, de prendre les mesures sur le Co2 et l’établissement d’assemblées citoyennes dont les membres seraient tirés au sort », comme le relève le rapport</w:t>
      </w:r>
    </w:p>
    <w:p>
      <w:r>
        <w:t>- 9 - d’investigation précité. Le cortège était formé dans un premier temps d’une cinquantaine de personnes puis, au fur et à mesure de son déplacement, d’autres participants se sont joints à la manifestation, provenant de divers courants de revendications politiques, écologiques et féministes. Au final, le nombre total de participants a été estimé à plus de trois cents, dont la plupart étaient masqués en raison de la pandémie de Covid-19, ce qui a rendu plus difficile leur identification formelle. Seulement six personnes ont finalement pu être identifiées, selon les photographies figurant au dossier, dont A.________ et C.________, qui ont reconnu leur participation à la manifestation en question. A.________ a toutefois refusé de dire s’il avait, à un moment ou à un autre, stationné ou marché sur la chaussée. Quant à C.________, elle a reconnu s’être assise durant la manifestation, sans pouvoir toutefois se souvenir pendant combien de temps et où, soit si c’était sur la chaussée ou sur le trottoir. En d roit : 1. 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les appels d’A.________ et de C.________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w:t>
      </w:r>
    </w:p>
    <w:p>
      <w:r>
        <w:t>- 10 -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Les appelants, dont les déclarations d’appel sont identiques, concluent à leur acquittement respectif des infractions retenues en première instance. Comme ils l’ont plaidé en audience d’appel, ils contestent avoir joué un « rôle prépondérant tout au long du trajet », tel qu’indiqué dans le rapport de police, relèvent que la manifestation, pacifiste, a été de courte durée et se plaignent d’une violation de leur liberté de manifester.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w:t>
      </w:r>
    </w:p>
    <w:p>
      <w:r>
        <w:t>- 11 -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3.2 3.2.1 L'art. 14 CP dispose que quiconque agit comme la loi l'ordonne ou l'autorise se comporte de manière licite, même si l'acte est punissable en vertu du code pénal ou d'une autre loi. 3.2.2 3.2.2.1 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w:t>
      </w:r>
    </w:p>
    <w:p>
      <w:r>
        <w:t>- 12 - 132 I 256 consid. 3 ; TF 6B_655/2022 du 31 août 2022 consid. 4.2). L'art. 11 § 1 CEDH (en relation avec l'art. 10 CEDH), qui consacre notamment le droit de toute personne à la liberté de réunion et à la liberté d'association, offre des garanties comparables (ATF 132 I 256 consid. 3)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 3.2.2.2 Selon la jurisprudence du Tribunal fédéral, il existe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6B_246/2022 du 12 décembre 2022 consid. 3.2.2 ; TF 6B_655/2022 précité consid. 4.3). 3.2.2.3 La Haute cour a confirmé que les autorités doivent pouvoir sanctionner ceux qui participent à une manifestation non autorisée, sans quoi une procédure d'autorisation serait illusoire (arrêt de la CourEDH Ziliberberg c. Moldova, du 1er février 2005, n° 61821/00). Elle a rappelé que si les conditions prévues dans l'autorisation de manifester ne sont pas respectées, les organisateurs et les participants pourront, le cas</w:t>
      </w:r>
    </w:p>
    <w:p>
      <w:r>
        <w:t>- 13 - échéant, être punis par une amende, en application de l'art. 292 CP ou d'une norme cantonale, pour autant qu'il n'y ait pas de disproportion entre le non-respect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3.2.2.4 Les actions de blocage peuvent donner lieu à des condamnations pénales (TF 6B_655/2022 précité consid. 4.5). Ainsi, le Tribunal fédéral a confirmé la condamnation pour contrainte (art. 181 CP), à des amendes allant de 500 fr. à 2'000 fr., des activistes climatiques qui</w:t>
      </w:r>
    </w:p>
    <w:p>
      <w:r>
        <w:t>- 14 -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46- 47). 3.3 3.3.1 En l’espèce, il est admis qu’A.________ et C.________ ont tous deux participé à la manifestation du 9 juin 2020. Il ne peut toutefois être retenu, sur la base des faits incriminés, qu’ils aient été parmi les organisateurs de la manifestation litigieuse, ou qu’ils aient été directement impliqués dans le mouvement...] [...], lequel est à l’origine de cette action. Partant, on doit considérer qu’en tant que « simples participants », il ne pouvait être exigé d’eux qu’ils sollicitent une autorisation préalable pour se joindre à la manifestation organisée en amont par le collectif précité. La contravention à la loi sur les contraventions (LContr ; BLV 312.11) en relation avec l’art. 41 RGP</w:t>
      </w:r>
    </w:p>
    <w:p>
      <w:r>
        <w:t>- 15 - (règlement général de police de la Commune de Lausanne du 27 novembre 2011) ne sera donc pas retenue. 3.3.2 3.3.2.1 La manifestation du 9 juin 2020 a débuté à proximité du [...] et a consisté ensuite en un cortège à travers la ville de [...], avec plusieurs dizaines de manifestants, qui, tant sur la chaussée que sur le trottoir, sont descendus jusqu’au bas de la Rue [...], en s’immobilisant notamment au carrefour [...], puis en descendant par l’Avenue du [...], jusqu’au bas de l’Avenue [...], où il y a eu un nouveau « sit-in » avant que tous les participants se dispersent. Le Tribunal de police a retenu que selon le rapport d’investigation du 8 décembre 2020, chacun des deux prévenus, avec d’autres, avait été identifié parmi les nombreux autres manifestants, semble-t-il non dénoncés ou non identifiés. Il a indiqué que ce rapport de police avait été établi sur la base de photographies sur lesquelles on reconnaissait effectivement les deux prévenus, tantôt debout tantôt assis. Il en déduisait que la version de la police était exacte. Il était permis de penser qu’il n’y aurait pas eu de dénonciation si les prévenus s’étaient contentés de cheminer debout. Le fait d’être assis était constitutif de contravention à l’art. 90 LCR et d’entrave aux services d’intérêts généraux puisque plusieurs lignes de bus passent aux endroits concernés. 3.3.2.2 Force est de constater qu’on ne dispose pas d’éléments suffisants au dossier détaillant le comportement précis reproché à A.________ et à C.________. En particulier, pour autant qu’on puisse retenir que les prévenus se sont assis sur la chaussée – ce que les photographies annexées au rapport de police ne permettent pas de constater –, on ignore combien de temps ils seraient restés dans cette position, le rapport de police indiquant uniquement que les manifestants se sont immobilisés au carrefour [...], qu’ils sont repartis quinze minutes plus tard, puis qu’un nouveau « sit-in » a eu lieu au giratoire du bas de l’Avenue [...]. Par ailleurs, il ne leur est pas reproché de ne pas s’être immédiatement pliés aux injonctions de la police.</w:t>
      </w:r>
    </w:p>
    <w:p>
      <w:r>
        <w:t>- 16 - Ainsi, contrairement à ce qu’a considéré le premier juge, on ne saurait retenir que les prévenus ont excédé les limites de la tolérance censée être manifestée par les autorités à l'égard d'un rassemblement illicite selon la jurisprudence précitée. Leur cas doit ainsi être distingué de celui de manifestants qui seraient restés longtemps assis sur la chaussée avec l’intention de bloquer durablement et par tous les moyens le trafic, qui se seraient organisés préalablement à cette fin et/ou qui n’auraient pas obtempéré aux injonctions de la police en s’accrochant par exemple les uns aux autres afin de rendre leur évacuation plus difficile. Comme relevé ci-dessus, même à retenir que les prévenus se seraient assis sur la chaussée – ce que C.________ ne conteste pas en soi –, ceci n’est pas suffisant – faute de disposer d’autres éléments – pour fonder le prononcé d’une condamnation pour entrave aux services d’intérêt général et violation simple des règles de la circulation routière, les prévenus pouvant à cet égard se prévaloir de leur droit de manifester tel qu’il résulte des art. 10 et 11 CEDH. En application de l’art. 14 CP, les prévenus, qui doivent être mis au bénéfice de leurs déclarations, doivent par conséquent être entièrement acquittés, les frais de la procédure de première instance qui les concernent étant laissés à la charge de l’Etat. 4. En définitive, les appels doivent être admis et le jugement entrepris réformé dans le sens des considérant qui précèdent. Vu l’issue de la cause, les frais de la procédure d’appel, constitués du seul émolument de jugement (art. 422 al. 1 CPP), par 1'500 fr. (art. 21 al. 1 et 2 TFIP [tarif des frais de procédure et indemnités en matière pénale du 28 septembre 2010 ; BLV 312.03.1]), seront laissés à la charge de l’Etat.</w:t>
      </w:r>
    </w:p>
    <w:p>
      <w:r>
        <w:t>- 17 - Par ces motifs, la Cour d’appel pénale, statuant en application des art. 398 ss CPP, prononce : I. Les appels sont admis. II. Le jugement rendu le 25 mai 2022 par le Tribunal de police de l'arrondissement de Lausanne est modifié comme il suit aux chiffres III, IV, V, VI et X de son dispositif, le dispositif du jugement étant désormais le suivant : « I. et II inchangés ; III. libère A.________ des chefs d’accusation d’entrave aux services d’intérêt général, de violation simple des règles de la circulation routière et de contravention à la loi vaudoise sur les contraventions ; IV. supprimé ; V. libère C.________ des chefs d’accusation d’entrave aux services d’intérêt général, de violation simple des règles de la circulation routière et de contravention à la loi vaudoise sur les contraventions ; VI. supprimé ; VII. à IX. inchangés ; X. met une part des frais de la cause, par 200 fr., à la charge de [...], le solde restant à la charge de l’Etat ; XI. rejette toute autre ou plus ample conclusion. » III. Les frais d'appel, par 1'500 fr., sont laissés à la charge de l’Etat.</w:t>
      </w:r>
    </w:p>
    <w:p>
      <w:r>
        <w:t>- 18 - IV. Le jugement est exécutoire. Le président : Le greffier : Du Le jugement qui précède, dont le dispositif a été communiqué par écrit aux intéressés le 19 janvier 2023, est notifié, par l'envoi d'une copie complète, à : - Mme C.________, - M. A.________,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