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PE21.008765 vom 24. August 2021</w:t>
      </w:r>
    </w:p>
    <w:p>
      <w:r>
        <w:t>VD Tribunal cantonal, 2021-08-24, FR</w:t>
      </w:r>
    </w:p>
    <w:p>
      <w:r>
        <w:rPr>
          <w:b/>
        </w:rPr>
        <w:t xml:space="preserve">Quelle: </w:t>
      </w:r>
      <w:r>
        <w:t>https://mcp.opencaselaw.ch/entscheid/vd_gerichte_PE21.008765</w:t>
      </w:r>
    </w:p>
    <w:p>
      <w:r>
        <w:t>FR: VD_GERICHTE PE21.008765 du 24 août 2021</w:t>
      </w:r>
    </w:p>
    <w:p>
      <w:r>
        <w:t>IT: VD_GERICHTE PE21.008765 del 24 agosto 2021</w:t>
      </w:r>
    </w:p>
    <w:p>
      <w:pPr>
        <w:pStyle w:val="Heading2"/>
      </w:pPr>
      <w:r>
        <w:t>Erwägungen</w:t>
      </w:r>
    </w:p>
    <w:p>
      <w:r>
        <w:rPr>
          <w:b/>
        </w:rPr>
        <w:t>E. 2</w:t>
      </w:r>
    </w:p>
    <w:p>
      <w:r>
        <w:t>et les réf. citées).</w:t>
      </w:r>
    </w:p>
    <w:p>
      <w:r>
        <w:rPr>
          <w:b/>
        </w:rPr>
        <w:t>E. 2.1</w:t>
      </w:r>
    </w:p>
    <w:p>
      <w:r>
        <w:t>La recourante fait valoir une violation des art. 319 CPP et 125 al. 2 CP.</w:t>
      </w:r>
    </w:p>
    <w:p>
      <w:r>
        <w:rPr>
          <w:b/>
        </w:rPr>
        <w:t>E. 2.2.1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SJ 2012 I 304, JdT 2013 IV 211)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 et les réf. citées; TF 6B_400/2020 du 20 janvier 2021 consid. 3.1; TF 6B_203/2020 du 8 mai 2020 consid. 2.1). En revanche, le Ministère public doit classer la procédure s’il apparaît, sur la base de faits assez clairs pour qu’il n’y ait pas lieu de s’attendre à une appréciation différente de l’autorité de</w:t>
      </w:r>
    </w:p>
    <w:p>
      <w:r>
        <w:t>- 8 -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consid.</w:t>
      </w:r>
    </w:p>
    <w:p>
      <w:r>
        <w:rPr>
          <w:b/>
        </w:rPr>
        <w:t>E. 2.2.2</w:t>
      </w:r>
    </w:p>
    <w:p>
      <w:r>
        <w:t>Aux termes de l’art. 125 CP (Code pénal du 21 décembre 1937;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 à- dire qu'il faut pouvoir reprocher à l'auteur une inattention ou un manque d'effort blâmable (ATF 135 IV 56 consid. 2.1; ATF 134 IV 255 consid. 4.2.3;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w:t>
      </w:r>
    </w:p>
    <w:p>
      <w:r>
        <w:t>- 9 -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ATF 134 IV 255 consid. 4.2.3). En second lieu, la violation du devoir de prudence doit être fautive, c'est-à-dire qu'il faut pouvoir reprocher à l'auteur une inattention ou un manque d'effort blâmable (ATF 135 IV 56 consid. 2.1; ATF 134 IV 255 consid. 4.2.3 et les références citées). Il faut en outre qu'il existe un rapport de causalité entre la violation fautive du devoir de prudence et les lésions de la victime. Les concepts de causalité naturelle et adéquate ont été rappelés aux ATF 143 III 242 consid. 3.7 et ont notamment été précisés aux ATF 133 IV 158</w:t>
      </w:r>
    </w:p>
    <w:p>
      <w:r>
        <w:t>- 10 - consid. 6.1 et ATF 131 IV 145 consid. 5, auxquels on peut se référer. Ainsi, lorsqu’il y a violation des règles de la prudence – en l’occurrence de règles de circulation routière – il faut encore se demander si cette violation peut être imputée à faute, c'est-à-dire si l'on peut reprocher à son auteur, compte tenu de ses circonstances personnelles, d'avoir fait preuve d'un manque d'effort blâmable (ATF 135 IV 56 consid. 2.1; ATF 134 IV 255 consid. 4.2.3; ATF 129 IV 119 consid. 2.1). La violation fautive d'un devoir de prudence doit par ailleurs avoir été la cause naturelle et adéquate des lésions subies par la victime (ATF 129 IV 123 consid. 2.4). Un comportement est la cause naturelle d'un résultat s'il en constitue l'une des conditions sine qua non. Il en est en outre la cause adéquate si, d'après le cours ordinaire des choses et l'expérience de la vie, il a été propre à entraîner un résultat du genre de celui qui s'est produit. La causalité adéquate peut cependant être exclue si une cause concomitante, par exemple une force naturelle, le comportement de la victime ou celui d'un tiers, constitue une circonstance tout à fait exceptionnelle ou apparaît si extraordinaire que l'on ne pouvait s'y attendre. Toutefois, l'imprévisibilité d'un acte concurrent ne suffit pas en soi à interrompre le lien de causalité adéquate; il faut encore que cet acte ait une importance telle qu'il s'impose comme étant la cause la plus probable et la plus immédiate de l'événement considéré, reléguant à l'arrière-plan tous les autres facteurs qui ont contribué à l'amener et notamment le comportement de l'auteur (ATF 129 IV 282 consid. 2.1; ATF 127 IV 34 consid. 2a et 2d; ATF 126 IV 13 consid. 7a/bb; ATF 122 IV 17 consid. 2c/bb; ATF 121 IV 207 consid. 2a).</w:t>
      </w:r>
    </w:p>
    <w:p>
      <w:r>
        <w:rPr>
          <w:b/>
        </w:rPr>
        <w:t>E. 2.2.3</w:t>
      </w:r>
    </w:p>
    <w:p>
      <w:r>
        <w:t>L’art. 49 al. 2 LCR (loi fédérale sur la circulation routière du 19 décembre 1958; RS 741.01) impose aux piétons de traverser la chaussée avec prudence et par le plus court chemin en empruntant, où cela est possible, un passage pour piétons, où ils bénéficient de la priorité sur de tels passages, mais ne doivent pas se lancer à l’improviste.</w:t>
      </w:r>
    </w:p>
    <w:p>
      <w:r>
        <w:rPr>
          <w:b/>
        </w:rPr>
        <w:t>E. 2.3</w:t>
      </w:r>
    </w:p>
    <w:p>
      <w:r>
        <w:t>La Procureure a retenu que A.________ avait certes adopté un comportement fautif, constitutif de violation des règles de la circulation routière, pour lequel elle avait fait l’objet d’une ordonnance pénale</w:t>
      </w:r>
    </w:p>
    <w:p>
      <w:r>
        <w:t>- 11 - distincte, mais qu’il n’existait pas de lien de causalité direct entre ce comportement et les graves blessures subies par N.________. En effet, cette dernière avait admis avoir traversé précipitamment la route, en dehors du passage piéton, sans porter attention à l’arrivée d’un éventuel véhicule. Dès lors, il ne serait pas arbitraire de considérer que les lésions graves dont a été victime N.________ résultaient de sa propre erreur, soit le fait de s’engager sur la chaussée sans précaution, et non pas du comportement de A.________. En l’occurrence, on relèvera d’abord que mis à part un rapport succinct de la police, aucune mesure d’instruction n’a été effectuée par le Ministère public. Or le dossier ne contient que très peu de renseignements, notamment sur la configuration des lieux de l’accident. Il semble que la recourante ait traversé une route se trouvant entre la sortie de la Migros du Sentier et un parking, ce qui laisse penser que la conductrice pouvait s’attendre à voir un piéton traverser la chaussée ; à tout le moins le passage d’un piéton sur la chaussée à cet endroit ne semble pas pouvoir être considéré comme un évènement extraordinaire ou inattendu qui serait de nature à rompre le lien de causalité. En outre, de l’aveu même de la prévenue, celle-ci roulait plutôt sur la gauche. Elle était concentrée sur les véhicules qui sortaient du parking et reconnaît n’avoir pas réintégré la voie de droite au moment de l’accident. Or selon les déclarations de A.________ dans de son audition du 19 février 2021, la recourante a traversé de sa droite à sa gauche. Elle était donc bien engagée sur la chaussée lorsque le choc s’est produit. L’intimée qui, selon ses dires, roulait à 20 km/h aurait probablement pu la voir et freiner si elle avait été attentive. On ne se trouve donc pas dans l’hypothèse d’un piéton qui se jette littéralement sous les roues d’une voiture. Il apparaît ainsi que les circonstances de l’accident ne sont pas claires et qu’il convient de les examiner plus précisément, cas échéant par la mise en place d’une reconstitution.</w:t>
      </w:r>
    </w:p>
    <w:p>
      <w:r>
        <w:t>- 12 -</w:t>
      </w:r>
    </w:p>
    <w:p>
      <w:r>
        <w:rPr>
          <w:b/>
        </w:rPr>
        <w:t>E. 3.1</w:t>
      </w:r>
    </w:p>
    <w:p>
      <w:r>
        <w:t>N.________ soutient que sa situation financière ne lui permettrait pas de faire face aux frais de la procédure, ni d’avoir recours à un mandataire de choix et requiert la désignation de Me Nader Ghosn en qualité de conseil juridique gratuit pour la procédure au fond et pour la procédure de recours. Elle fait encore valoir qu’au vu en particulier de son âge et des circonstances particulières du cas d’espèce, elle n’est pas en situation de pouvoir agir seule.</w:t>
      </w:r>
    </w:p>
    <w:p>
      <w:r>
        <w:rPr>
          <w:b/>
        </w:rPr>
        <w:t>E. 3.2.1</w:t>
      </w:r>
    </w:p>
    <w:p>
      <w:r>
        <w:t>Aux termes de l’art. 136 al. 1 CPP (Code de procédure pénale suisse du 5 octobre 2007; RS 312.0),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L’indigence du plaideur est une condition commune à la défense d'office et à la désignation d'un défenseur d'office en faveur du prévenu, d’une part, et à l'assistance judiciaire et à la désignation d'un conseil juridique gratuit en faveur de la partie plaignante, d’autre part (Harari/Aliberti, in : Kuhn et alii [éd.], Commentaire romand, Code de procédure pénale suisse, 2e éd., Bâle 2019, n. 30 ad art. 136 CPP, avec renvoi aux nn. 33-35 ad art. 132 CPP). Est considéré comme indigent celui qui ne peut assurer les frais liés à la défense de ses intérêts sans porter atteinte au minimum nécessaire à son entretien ainsi qu’à celui de sa famille (ATF 128 I 225 consid. 2.5.1; ATF 125 IV 161 consid. 4a, JdT 2011 IV 93). L’indigence s’apprécie selon la situation économique du requérant au moment du dépôt de la requête. Il faut tenir compte des obligations financières de ce dernier, de ses revenus et de sa fortune (Moreillon/Parein-Reymond, Code</w:t>
      </w:r>
    </w:p>
    <w:p>
      <w:r>
        <w:t>- 13 - de procédure pénale, Petit commentaire, 2e éd., Bâle 2016, n. 3 ad art. 136 CPP). Le soutien de la collectivité publique n’est en principe pas dû lorsque la part disponible permet d’amortir les frais d’un procès en une année pour les procès relativement simples, et en deux ans pour les autres (ATF 135 I 221 consid. 5.1).</w:t>
      </w:r>
    </w:p>
    <w:p>
      <w:r>
        <w:rPr>
          <w:b/>
        </w:rPr>
        <w:t>E. 3.2.2</w:t>
      </w:r>
    </w:p>
    <w:p>
      <w:r>
        <w:t>La fortune mobilière et immobilière doit être prise en compte dans l’examen de l’indigence, pour autant qu’elle soit disponible (Colombini, Code de procédure civile – Condensé de la jurisprudence fédérale et vaudoise, 2018, n. 2.4 ad art. 117 CPC, et les références citées). S’agissant de la fortune mobilière, elle comprend les capitaux, titres et objets aisément réalisables, qui ne sont pas nécessaires à l’activité lucrative du requérant et dont on peut aisément attendre qu’ils soient entamés (ATF 123 I 97 consid. 3). Un montant d’économies ou de fortune nette, variant selon les cas de 10'000 fr. à 20'000 fr., voire 25'000 fr, au maximum peut être mis de côté en cas d’insuffisance de revenu sans devoir être considéré comme une ressource à prendre en considération ; ce n’est que s’il est âgé ou malade que le requérant peut prétendre à une « réserve de secours » évaluée entre 20'000 fr. et 40'000 fr. (TF 5P.375/2006 du 18 décembre 2003 consid. 3.4). S’agissant de la fortune immobilière, il y a lieu d’examiner si le propriétaire peut se procurer les moyens nécessaires suffisants en mettant en gage ou en augmentant un crédit hypothécaire existant, voire en aliénant le bien- fonds (ATF 119 Ia 11 consid. 5, JdT 1995 II 58 ; Krieger, Quelques considérations relatives à l'assistance judiciaire en matière civile, in : L'avocat moderne, Bâle 1998, p. 83).</w:t>
      </w:r>
    </w:p>
    <w:p>
      <w:r>
        <w:rPr>
          <w:b/>
        </w:rPr>
        <w:t>E. 3.3</w:t>
      </w:r>
    </w:p>
    <w:p>
      <w:r>
        <w:t>En l’occurrence, on relèvera que la demande d’assistance judiciaire et de conseil juridique gratuit déposée par N.________ porte tant sur la procédure préliminaire que sur la procédure de recours. En l’absence d’une ordonnance formelle du Ministère public sur ce point, la Chambre de céans n’est pas compétente pour statuer sur cette requête en tant qu’elle concerne ce premier point (cf. art. 393 al. 1 a contrario).</w:t>
      </w:r>
    </w:p>
    <w:p>
      <w:r>
        <w:t>- 14 - Pour le reste, lorsque le recours est admis, les frais de la procédure sont laissés à la charge de l’Etat, qui supporte en outre l’indemnité allouée à la partie recourante sur la base de l’at. 433 CPP. Partant, la requête d’assistance judiciaire de N.________ est sans objet en tant qu’elle porte sur la procédure de recours.</w:t>
      </w:r>
    </w:p>
    <w:p>
      <w:r>
        <w:rPr>
          <w:b/>
        </w:rPr>
        <w:t>E. 4</w:t>
      </w:r>
    </w:p>
    <w:p>
      <w:r>
        <w:t>En définitive, le recours doit être admis et le dossier de la cause doit être renvoyé au Ministère public de l’arrondissement du Nord vaudois pour qu’il complète l’instruction dans le sens des considérants. Vu l’admission du recours, les frais de la procédure, constitués en l’espèce du seul émolument d'arrêt, par 1’430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à une indemnité pour les dépenses occasionnées par la procédure de recours (art. 433 al. 1 let. a CPP). Elle ne quantifie toutefois pas sa prétention. Au vu du mémoire déposé et de la nature de l’affaire, cette indemnité sera fixée à 750 fr., correspondant à 2h30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7,7 %, par 58 fr. 90, soit à 824 fr. au total en chiffres arrondis. Elle sera laissée à la charge de l’Etat (art. 428 al. 4 CPP).</w:t>
      </w:r>
    </w:p>
    <w:p>
      <w:r>
        <w:t>- 15 - Par ces motifs, la Chambre des recours pénale prononce : I. Le recours est admis. II. L’ordonnance du 8 juin 2021 est annulée. III. Le dossier de la cause est renvoyé au Ministère public de l’arrondissement du Nord vaudois pour qu’il procède dans le sens des considérants. IV. La requête d’assistance judiciaire est sans objet dans la mesure où elle est recevable. V. Les frais d’arrêt, par 1’430 fr. (mille quatre cent trente francs), sont laissés à la charge de l’Etat. VI. Une indemnité de 824 fr. (huit cent vingt-quatre francs) est allouée à N.________ pour les dépenses occasionnées par la procédure de recours, à la charge de l’Etat. VII. L’arrêt est exécutoire. Le président : La greffière : Du Le présent arrêt, dont la rédaction a été approuvée à huis clos, est notifié, par l'envoi d'une copie complète, à : - Me Nader Ghosn, avocat (pour N.________), - Mme A.________, - Ministère public central, et communiqué à : - Mme la Procureure de l’arrondissement du Nord vaudois, - Service de la population,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